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F45908" w:rsidRPr="00F45908" w:rsidTr="0073406E">
        <w:tc>
          <w:tcPr>
            <w:tcW w:w="2098" w:type="dxa"/>
            <w:tcBorders>
              <w:top w:val="nil"/>
              <w:left w:val="nil"/>
              <w:bottom w:val="nil"/>
              <w:right w:val="nil"/>
            </w:tcBorders>
            <w:vAlign w:val="bottom"/>
          </w:tcPr>
          <w:p w:rsidR="00F45908" w:rsidRPr="00F45908" w:rsidRDefault="00F45908" w:rsidP="00F45908">
            <w:pPr>
              <w:rPr>
                <w:rFonts w:eastAsia="Times New Roman"/>
                <w:sz w:val="24"/>
                <w:szCs w:val="24"/>
                <w:lang w:eastAsia="ru-RU"/>
              </w:rPr>
            </w:pPr>
            <w:bookmarkStart w:id="0" w:name="_GoBack"/>
            <w:bookmarkEnd w:id="0"/>
            <w:r w:rsidRPr="00F45908">
              <w:rPr>
                <w:rFonts w:eastAsia="Times New Roman"/>
                <w:sz w:val="24"/>
                <w:szCs w:val="24"/>
                <w:lang w:eastAsia="ru-RU"/>
              </w:rPr>
              <w:t xml:space="preserve">Утверждено        </w:t>
            </w:r>
          </w:p>
        </w:tc>
        <w:tc>
          <w:tcPr>
            <w:tcW w:w="510" w:type="dxa"/>
            <w:tcBorders>
              <w:top w:val="nil"/>
              <w:left w:val="nil"/>
              <w:bottom w:val="single" w:sz="4" w:space="0" w:color="auto"/>
              <w:right w:val="nil"/>
            </w:tcBorders>
            <w:vAlign w:val="bottom"/>
          </w:tcPr>
          <w:p w:rsidR="00F45908" w:rsidRPr="00F45908" w:rsidRDefault="00F45908" w:rsidP="00F45908">
            <w:pPr>
              <w:jc w:val="center"/>
              <w:rPr>
                <w:rFonts w:eastAsia="Times New Roman"/>
                <w:sz w:val="24"/>
                <w:szCs w:val="24"/>
                <w:lang w:eastAsia="ru-RU"/>
              </w:rPr>
            </w:pPr>
          </w:p>
        </w:tc>
        <w:tc>
          <w:tcPr>
            <w:tcW w:w="255" w:type="dxa"/>
            <w:tcBorders>
              <w:top w:val="nil"/>
              <w:left w:val="nil"/>
              <w:bottom w:val="nil"/>
              <w:right w:val="nil"/>
            </w:tcBorders>
            <w:vAlign w:val="bottom"/>
          </w:tcPr>
          <w:p w:rsidR="00F45908" w:rsidRPr="00F45908" w:rsidRDefault="00F45908" w:rsidP="00F45908">
            <w:pPr>
              <w:rPr>
                <w:rFonts w:eastAsia="Times New Roman"/>
                <w:sz w:val="24"/>
                <w:szCs w:val="24"/>
                <w:lang w:eastAsia="ru-RU"/>
              </w:rPr>
            </w:pPr>
            <w:r w:rsidRPr="00F45908">
              <w:rPr>
                <w:rFonts w:eastAsia="Times New Roman"/>
                <w:sz w:val="24"/>
                <w:szCs w:val="24"/>
                <w:lang w:eastAsia="ru-RU"/>
              </w:rPr>
              <w:t>”</w:t>
            </w:r>
          </w:p>
        </w:tc>
        <w:tc>
          <w:tcPr>
            <w:tcW w:w="2155" w:type="dxa"/>
            <w:tcBorders>
              <w:top w:val="nil"/>
              <w:left w:val="nil"/>
              <w:bottom w:val="single" w:sz="4" w:space="0" w:color="auto"/>
              <w:right w:val="nil"/>
            </w:tcBorders>
            <w:vAlign w:val="bottom"/>
          </w:tcPr>
          <w:p w:rsidR="00F45908" w:rsidRPr="00F45908" w:rsidRDefault="00F45908" w:rsidP="00F45908">
            <w:pPr>
              <w:jc w:val="center"/>
              <w:rPr>
                <w:rFonts w:eastAsia="Times New Roman"/>
                <w:sz w:val="24"/>
                <w:szCs w:val="24"/>
                <w:lang w:eastAsia="ru-RU"/>
              </w:rPr>
            </w:pPr>
          </w:p>
        </w:tc>
        <w:tc>
          <w:tcPr>
            <w:tcW w:w="397" w:type="dxa"/>
            <w:tcBorders>
              <w:top w:val="nil"/>
              <w:left w:val="nil"/>
              <w:bottom w:val="nil"/>
              <w:right w:val="nil"/>
            </w:tcBorders>
            <w:vAlign w:val="bottom"/>
          </w:tcPr>
          <w:p w:rsidR="00F45908" w:rsidRPr="00F45908" w:rsidRDefault="00F45908" w:rsidP="00F45908">
            <w:pPr>
              <w:jc w:val="right"/>
              <w:rPr>
                <w:rFonts w:eastAsia="Times New Roman"/>
                <w:sz w:val="24"/>
                <w:szCs w:val="24"/>
                <w:lang w:eastAsia="ru-RU"/>
              </w:rPr>
            </w:pPr>
            <w:r w:rsidRPr="00F45908">
              <w:rPr>
                <w:rFonts w:eastAsia="Times New Roman"/>
                <w:sz w:val="24"/>
                <w:szCs w:val="24"/>
                <w:lang w:eastAsia="ru-RU"/>
              </w:rPr>
              <w:t>20</w:t>
            </w:r>
          </w:p>
        </w:tc>
        <w:tc>
          <w:tcPr>
            <w:tcW w:w="397" w:type="dxa"/>
            <w:tcBorders>
              <w:top w:val="nil"/>
              <w:left w:val="nil"/>
              <w:bottom w:val="single" w:sz="4" w:space="0" w:color="auto"/>
              <w:right w:val="nil"/>
            </w:tcBorders>
            <w:vAlign w:val="bottom"/>
          </w:tcPr>
          <w:p w:rsidR="00F45908" w:rsidRPr="00F45908" w:rsidRDefault="00F45908" w:rsidP="00F45908">
            <w:pPr>
              <w:rPr>
                <w:rFonts w:eastAsia="Times New Roman"/>
                <w:sz w:val="24"/>
                <w:szCs w:val="24"/>
                <w:lang w:eastAsia="ru-RU"/>
              </w:rPr>
            </w:pPr>
            <w:r w:rsidRPr="00F45908">
              <w:rPr>
                <w:rFonts w:eastAsia="Times New Roman"/>
                <w:sz w:val="24"/>
                <w:szCs w:val="24"/>
                <w:lang w:eastAsia="ru-RU"/>
              </w:rPr>
              <w:t>1</w:t>
            </w:r>
          </w:p>
        </w:tc>
        <w:tc>
          <w:tcPr>
            <w:tcW w:w="453" w:type="dxa"/>
            <w:tcBorders>
              <w:top w:val="nil"/>
              <w:left w:val="nil"/>
              <w:bottom w:val="nil"/>
              <w:right w:val="nil"/>
            </w:tcBorders>
            <w:vAlign w:val="bottom"/>
          </w:tcPr>
          <w:p w:rsidR="00F45908" w:rsidRPr="00F45908" w:rsidRDefault="00F45908" w:rsidP="00F45908">
            <w:pPr>
              <w:ind w:left="57"/>
              <w:rPr>
                <w:rFonts w:eastAsia="Times New Roman"/>
                <w:sz w:val="24"/>
                <w:szCs w:val="24"/>
                <w:lang w:eastAsia="ru-RU"/>
              </w:rPr>
            </w:pPr>
            <w:r w:rsidRPr="00F45908">
              <w:rPr>
                <w:rFonts w:eastAsia="Times New Roman"/>
                <w:sz w:val="24"/>
                <w:szCs w:val="24"/>
                <w:lang w:eastAsia="ru-RU"/>
              </w:rPr>
              <w:t>г.</w:t>
            </w:r>
          </w:p>
        </w:tc>
      </w:tr>
    </w:tbl>
    <w:p w:rsidR="00F45908" w:rsidRPr="00F45908" w:rsidRDefault="00F45908" w:rsidP="00F45908">
      <w:pPr>
        <w:ind w:left="3714"/>
        <w:jc w:val="center"/>
        <w:rPr>
          <w:rFonts w:eastAsia="Times New Roman"/>
          <w:bCs/>
          <w:sz w:val="24"/>
          <w:szCs w:val="24"/>
          <w:lang w:eastAsia="ru-RU"/>
        </w:rPr>
      </w:pPr>
    </w:p>
    <w:p w:rsidR="00F45908" w:rsidRPr="00F45908" w:rsidRDefault="00F45908" w:rsidP="00F45908">
      <w:pPr>
        <w:ind w:left="4536" w:right="-2"/>
        <w:jc w:val="center"/>
        <w:rPr>
          <w:rFonts w:eastAsia="Times New Roman"/>
          <w:sz w:val="24"/>
          <w:szCs w:val="24"/>
          <w:lang w:eastAsia="ru-RU"/>
        </w:rPr>
      </w:pPr>
      <w:r w:rsidRPr="00F45908">
        <w:rPr>
          <w:rFonts w:eastAsia="Times New Roman"/>
          <w:sz w:val="24"/>
          <w:szCs w:val="24"/>
          <w:lang w:eastAsia="ru-RU"/>
        </w:rPr>
        <w:t>ПАО Московская Биржа</w:t>
      </w:r>
    </w:p>
    <w:p w:rsidR="00F45908" w:rsidRPr="00F45908" w:rsidRDefault="00F45908" w:rsidP="00F45908">
      <w:pPr>
        <w:pBdr>
          <w:top w:val="single" w:sz="4" w:space="0" w:color="auto"/>
        </w:pBdr>
        <w:ind w:left="4536" w:right="-2"/>
        <w:jc w:val="center"/>
        <w:rPr>
          <w:rFonts w:eastAsia="Times New Roman"/>
          <w:sz w:val="18"/>
          <w:szCs w:val="18"/>
          <w:lang w:eastAsia="ru-RU"/>
        </w:rPr>
      </w:pPr>
      <w:r w:rsidRPr="00F45908">
        <w:rPr>
          <w:rFonts w:eastAsia="Times New Roman"/>
          <w:sz w:val="18"/>
          <w:szCs w:val="18"/>
          <w:lang w:eastAsia="ru-RU"/>
        </w:rPr>
        <w:t>(указывается наименование уполномоченного органа)</w:t>
      </w:r>
    </w:p>
    <w:p w:rsidR="00F45908" w:rsidRPr="00F45908" w:rsidRDefault="00F45908" w:rsidP="00F45908">
      <w:pPr>
        <w:pBdr>
          <w:top w:val="single" w:sz="4" w:space="0" w:color="auto"/>
        </w:pBdr>
        <w:ind w:left="4536" w:right="-2"/>
        <w:jc w:val="center"/>
        <w:rPr>
          <w:rFonts w:eastAsia="Times New Roman"/>
          <w:sz w:val="18"/>
          <w:szCs w:val="18"/>
          <w:lang w:eastAsia="ru-RU"/>
        </w:rPr>
      </w:pPr>
    </w:p>
    <w:p w:rsidR="00F45908" w:rsidRPr="00F45908" w:rsidRDefault="00F45908" w:rsidP="00F45908">
      <w:pPr>
        <w:ind w:left="4536" w:right="-2"/>
        <w:jc w:val="center"/>
        <w:rPr>
          <w:rFonts w:eastAsia="Times New Roman"/>
          <w:sz w:val="18"/>
          <w:szCs w:val="18"/>
          <w:lang w:eastAsia="ru-RU"/>
        </w:rPr>
      </w:pPr>
    </w:p>
    <w:p w:rsidR="00F45908" w:rsidRPr="00F45908" w:rsidRDefault="00F45908" w:rsidP="00F45908">
      <w:pPr>
        <w:pBdr>
          <w:top w:val="single" w:sz="4" w:space="1" w:color="auto"/>
        </w:pBdr>
        <w:ind w:left="4536" w:right="-2"/>
        <w:jc w:val="center"/>
        <w:rPr>
          <w:rFonts w:eastAsia="Times New Roman"/>
          <w:sz w:val="18"/>
          <w:szCs w:val="18"/>
          <w:lang w:eastAsia="ru-RU"/>
        </w:rPr>
      </w:pPr>
      <w:r w:rsidRPr="00F45908">
        <w:rPr>
          <w:rFonts w:eastAsia="Times New Roman"/>
          <w:sz w:val="18"/>
          <w:szCs w:val="18"/>
          <w:lang w:eastAsia="ru-RU"/>
        </w:rPr>
        <w:t>(подпись уполномоченного лица)</w:t>
      </w:r>
    </w:p>
    <w:p w:rsidR="001807E2" w:rsidRPr="00A41B88" w:rsidRDefault="001807E2">
      <w:pPr>
        <w:spacing w:before="240" w:after="240"/>
        <w:jc w:val="center"/>
        <w:rPr>
          <w:b/>
          <w:bCs/>
          <w:sz w:val="26"/>
          <w:szCs w:val="26"/>
        </w:rPr>
      </w:pPr>
    </w:p>
    <w:p w:rsidR="001807E2" w:rsidRPr="00A41B88" w:rsidRDefault="001807E2">
      <w:pPr>
        <w:spacing w:before="240" w:after="240"/>
        <w:jc w:val="center"/>
        <w:rPr>
          <w:b/>
          <w:bCs/>
          <w:sz w:val="26"/>
          <w:szCs w:val="26"/>
        </w:rPr>
      </w:pPr>
    </w:p>
    <w:p w:rsidR="001807E2" w:rsidRPr="00A11B2C" w:rsidRDefault="001807E2">
      <w:pPr>
        <w:spacing w:before="240" w:after="240"/>
        <w:jc w:val="center"/>
        <w:rPr>
          <w:b/>
          <w:bCs/>
          <w:sz w:val="36"/>
          <w:szCs w:val="36"/>
        </w:rPr>
      </w:pPr>
      <w:r w:rsidRPr="00A11B2C">
        <w:rPr>
          <w:b/>
          <w:bCs/>
          <w:sz w:val="36"/>
          <w:szCs w:val="36"/>
        </w:rPr>
        <w:t>ИЗМЕНЕНИЯ В ПРОСПЕКТ ЦЕННЫХ БУМАГ</w:t>
      </w:r>
    </w:p>
    <w:p w:rsidR="001807E2" w:rsidRPr="0027422D" w:rsidRDefault="001807E2" w:rsidP="0072089F">
      <w:pPr>
        <w:jc w:val="center"/>
        <w:rPr>
          <w:b/>
          <w:i/>
          <w:sz w:val="36"/>
          <w:szCs w:val="36"/>
        </w:rPr>
      </w:pPr>
    </w:p>
    <w:p w:rsidR="00A41B88" w:rsidRPr="00A41B88" w:rsidRDefault="00A41B88" w:rsidP="00A41B88">
      <w:pPr>
        <w:adjustRightInd w:val="0"/>
        <w:spacing w:before="120"/>
        <w:jc w:val="center"/>
        <w:rPr>
          <w:rFonts w:eastAsia="Times New Roman"/>
          <w:b/>
          <w:bCs/>
          <w:i/>
          <w:iCs/>
          <w:sz w:val="28"/>
          <w:szCs w:val="22"/>
          <w:lang w:eastAsia="en-US"/>
        </w:rPr>
      </w:pPr>
      <w:r w:rsidRPr="00A41B88">
        <w:rPr>
          <w:rFonts w:eastAsia="Times New Roman"/>
          <w:b/>
          <w:bCs/>
          <w:i/>
          <w:iCs/>
          <w:sz w:val="28"/>
          <w:szCs w:val="22"/>
          <w:u w:val="single"/>
          <w:lang w:eastAsia="en-US"/>
        </w:rPr>
        <w:t>Государственный специализированный Российский экспортно-импортный банк (акционерное общество)</w:t>
      </w:r>
    </w:p>
    <w:p w:rsidR="00CE4132" w:rsidRPr="0054685E" w:rsidRDefault="00CE4132" w:rsidP="00CE4132">
      <w:pPr>
        <w:jc w:val="center"/>
        <w:rPr>
          <w:b/>
          <w:bCs/>
          <w:i/>
          <w:iCs/>
          <w:sz w:val="24"/>
          <w:szCs w:val="24"/>
        </w:rPr>
      </w:pPr>
    </w:p>
    <w:p w:rsidR="00F45908" w:rsidRPr="00F45908" w:rsidRDefault="00F45908" w:rsidP="00F45908">
      <w:pPr>
        <w:jc w:val="both"/>
        <w:rPr>
          <w:rFonts w:eastAsia="Times New Roman"/>
          <w:b/>
          <w:bCs/>
          <w:i/>
          <w:iCs/>
          <w:sz w:val="22"/>
          <w:szCs w:val="22"/>
          <w:lang w:eastAsia="ru-RU"/>
        </w:rPr>
      </w:pPr>
      <w:r w:rsidRPr="00F45908">
        <w:rPr>
          <w:rFonts w:eastAsia="Times New Roman"/>
          <w:b/>
          <w:bCs/>
          <w:i/>
          <w:iCs/>
          <w:sz w:val="22"/>
          <w:szCs w:val="22"/>
          <w:lang w:eastAsia="ru-RU"/>
        </w:rPr>
        <w:t>Биржевые неконвертируемые процентные документарные облигации на предъявителя, с обязательным централизованным хранением, размещаемые путем открытой подписки, общей номинальной стоимостью всех выпусков биржевых облигаций, размещаемых в рамках Программы биржевых облигаций до 50 000 000 000 (Пятидесяти миллиардов) рублей включительно или эквивалента этой суммы в иностранной валюте, с максимальным сроком погашения не позднее, чем в 3 640 (Три тысячи шестьсот сороковой) день с даты начала размещения отдельного выпуска биржевых облигаций, в рамках Программы биржевых облигаций.</w:t>
      </w:r>
    </w:p>
    <w:p w:rsidR="00F45908" w:rsidRPr="00F45908" w:rsidRDefault="00F45908" w:rsidP="00F45908">
      <w:pPr>
        <w:jc w:val="both"/>
        <w:rPr>
          <w:rFonts w:eastAsia="Times New Roman"/>
          <w:b/>
          <w:bCs/>
          <w:i/>
          <w:iCs/>
          <w:sz w:val="22"/>
          <w:szCs w:val="22"/>
          <w:lang w:eastAsia="ru-RU"/>
        </w:rPr>
      </w:pPr>
      <w:r w:rsidRPr="00F45908">
        <w:rPr>
          <w:rFonts w:eastAsia="Times New Roman"/>
          <w:b/>
          <w:bCs/>
          <w:i/>
          <w:iCs/>
          <w:sz w:val="22"/>
          <w:szCs w:val="22"/>
          <w:lang w:eastAsia="ru-RU"/>
        </w:rPr>
        <w:t>Программа биржевых облигаций серии 002Р.</w:t>
      </w:r>
    </w:p>
    <w:p w:rsidR="00F45908" w:rsidRPr="00F45908" w:rsidRDefault="00F45908" w:rsidP="00F45908">
      <w:pPr>
        <w:jc w:val="center"/>
        <w:rPr>
          <w:rFonts w:eastAsia="Times New Roman"/>
          <w:sz w:val="24"/>
          <w:szCs w:val="24"/>
          <w:lang w:eastAsia="ru-RU"/>
        </w:rPr>
      </w:pPr>
    </w:p>
    <w:p w:rsidR="00F45908" w:rsidRPr="00F45908" w:rsidRDefault="00F45908" w:rsidP="00F45908">
      <w:pPr>
        <w:jc w:val="center"/>
        <w:rPr>
          <w:rFonts w:eastAsia="Times New Roman"/>
          <w:sz w:val="24"/>
          <w:szCs w:val="24"/>
          <w:lang w:eastAsia="ru-RU"/>
        </w:rPr>
      </w:pPr>
      <w:r w:rsidRPr="00F45908">
        <w:rPr>
          <w:rFonts w:eastAsia="Times New Roman"/>
          <w:sz w:val="24"/>
          <w:szCs w:val="24"/>
          <w:lang w:eastAsia="ru-RU"/>
        </w:rPr>
        <w:t>Идентификационный номер программы биржевых облигаций:</w:t>
      </w:r>
    </w:p>
    <w:p w:rsidR="00F45908" w:rsidRPr="00F45908" w:rsidRDefault="00F45908" w:rsidP="00F45908">
      <w:pPr>
        <w:jc w:val="center"/>
        <w:rPr>
          <w:rFonts w:eastAsia="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40"/>
        <w:gridCol w:w="340"/>
        <w:gridCol w:w="340"/>
        <w:gridCol w:w="340"/>
        <w:gridCol w:w="369"/>
        <w:gridCol w:w="369"/>
        <w:gridCol w:w="369"/>
        <w:gridCol w:w="369"/>
        <w:gridCol w:w="369"/>
        <w:gridCol w:w="369"/>
        <w:gridCol w:w="369"/>
        <w:gridCol w:w="369"/>
      </w:tblGrid>
      <w:tr w:rsidR="00F45908" w:rsidRPr="00F45908" w:rsidTr="0073406E">
        <w:trPr>
          <w:trHeight w:val="340"/>
          <w:jc w:val="center"/>
        </w:trPr>
        <w:tc>
          <w:tcPr>
            <w:tcW w:w="369" w:type="dxa"/>
            <w:vAlign w:val="center"/>
          </w:tcPr>
          <w:p w:rsidR="00F45908" w:rsidRPr="00F45908" w:rsidRDefault="00F45908" w:rsidP="00F45908">
            <w:pPr>
              <w:jc w:val="center"/>
              <w:rPr>
                <w:rFonts w:eastAsia="Times New Roman"/>
                <w:sz w:val="24"/>
                <w:szCs w:val="24"/>
                <w:lang w:val="en-US" w:eastAsia="ru-RU"/>
              </w:rPr>
            </w:pPr>
            <w:r w:rsidRPr="00F45908">
              <w:rPr>
                <w:rFonts w:eastAsia="Times New Roman"/>
                <w:sz w:val="24"/>
                <w:szCs w:val="24"/>
                <w:lang w:val="en-US" w:eastAsia="ru-RU"/>
              </w:rPr>
              <w:t>4</w:t>
            </w:r>
          </w:p>
        </w:tc>
        <w:tc>
          <w:tcPr>
            <w:tcW w:w="369" w:type="dxa"/>
            <w:vAlign w:val="center"/>
          </w:tcPr>
          <w:p w:rsidR="00F45908" w:rsidRPr="00F45908" w:rsidRDefault="00F45908" w:rsidP="00F45908">
            <w:pPr>
              <w:jc w:val="center"/>
              <w:rPr>
                <w:rFonts w:eastAsia="Times New Roman"/>
                <w:sz w:val="24"/>
                <w:szCs w:val="24"/>
                <w:lang w:eastAsia="ru-RU"/>
              </w:rPr>
            </w:pPr>
            <w:r w:rsidRPr="00F45908">
              <w:rPr>
                <w:rFonts w:eastAsia="Times New Roman"/>
                <w:sz w:val="24"/>
                <w:szCs w:val="24"/>
                <w:lang w:eastAsia="ru-RU"/>
              </w:rPr>
              <w:t>0</w:t>
            </w:r>
          </w:p>
        </w:tc>
        <w:tc>
          <w:tcPr>
            <w:tcW w:w="340" w:type="dxa"/>
            <w:vAlign w:val="center"/>
          </w:tcPr>
          <w:p w:rsidR="00F45908" w:rsidRPr="00F45908" w:rsidRDefault="00F45908" w:rsidP="00F45908">
            <w:pPr>
              <w:jc w:val="center"/>
              <w:rPr>
                <w:rFonts w:eastAsia="Times New Roman"/>
                <w:sz w:val="24"/>
                <w:szCs w:val="24"/>
                <w:lang w:eastAsia="ru-RU"/>
              </w:rPr>
            </w:pPr>
            <w:r w:rsidRPr="00F45908">
              <w:rPr>
                <w:rFonts w:eastAsia="Times New Roman"/>
                <w:sz w:val="24"/>
                <w:szCs w:val="24"/>
                <w:lang w:eastAsia="ru-RU"/>
              </w:rPr>
              <w:t>2</w:t>
            </w:r>
          </w:p>
        </w:tc>
        <w:tc>
          <w:tcPr>
            <w:tcW w:w="340" w:type="dxa"/>
            <w:vAlign w:val="center"/>
          </w:tcPr>
          <w:p w:rsidR="00F45908" w:rsidRPr="00F45908" w:rsidRDefault="00F45908" w:rsidP="00F45908">
            <w:pPr>
              <w:jc w:val="center"/>
              <w:rPr>
                <w:rFonts w:eastAsia="Times New Roman"/>
                <w:sz w:val="24"/>
                <w:szCs w:val="24"/>
                <w:lang w:eastAsia="ru-RU"/>
              </w:rPr>
            </w:pPr>
            <w:r w:rsidRPr="00F45908">
              <w:rPr>
                <w:rFonts w:eastAsia="Times New Roman"/>
                <w:sz w:val="24"/>
                <w:szCs w:val="24"/>
                <w:lang w:eastAsia="ru-RU"/>
              </w:rPr>
              <w:t>7</w:t>
            </w:r>
          </w:p>
        </w:tc>
        <w:tc>
          <w:tcPr>
            <w:tcW w:w="340" w:type="dxa"/>
            <w:vAlign w:val="center"/>
          </w:tcPr>
          <w:p w:rsidR="00F45908" w:rsidRPr="00F45908" w:rsidRDefault="00F45908" w:rsidP="00F45908">
            <w:pPr>
              <w:jc w:val="center"/>
              <w:rPr>
                <w:rFonts w:eastAsia="Times New Roman"/>
                <w:sz w:val="24"/>
                <w:szCs w:val="24"/>
                <w:lang w:eastAsia="ru-RU"/>
              </w:rPr>
            </w:pPr>
            <w:r w:rsidRPr="00F45908">
              <w:rPr>
                <w:rFonts w:eastAsia="Times New Roman"/>
                <w:sz w:val="24"/>
                <w:szCs w:val="24"/>
                <w:lang w:eastAsia="ru-RU"/>
              </w:rPr>
              <w:t>9</w:t>
            </w:r>
          </w:p>
        </w:tc>
        <w:tc>
          <w:tcPr>
            <w:tcW w:w="340" w:type="dxa"/>
            <w:vAlign w:val="center"/>
          </w:tcPr>
          <w:p w:rsidR="00F45908" w:rsidRPr="00F45908" w:rsidRDefault="00F45908" w:rsidP="00F45908">
            <w:pPr>
              <w:jc w:val="center"/>
              <w:rPr>
                <w:rFonts w:eastAsia="Times New Roman"/>
                <w:sz w:val="24"/>
                <w:szCs w:val="24"/>
                <w:lang w:eastAsia="ru-RU"/>
              </w:rPr>
            </w:pPr>
            <w:r w:rsidRPr="00F45908">
              <w:rPr>
                <w:rFonts w:eastAsia="Times New Roman"/>
                <w:sz w:val="24"/>
                <w:szCs w:val="24"/>
                <w:lang w:eastAsia="ru-RU"/>
              </w:rPr>
              <w:t>0</w:t>
            </w:r>
          </w:p>
        </w:tc>
        <w:tc>
          <w:tcPr>
            <w:tcW w:w="369" w:type="dxa"/>
            <w:vAlign w:val="center"/>
          </w:tcPr>
          <w:p w:rsidR="00F45908" w:rsidRPr="00F45908" w:rsidRDefault="00F45908" w:rsidP="00F45908">
            <w:pPr>
              <w:jc w:val="center"/>
              <w:rPr>
                <w:rFonts w:eastAsia="Times New Roman"/>
                <w:sz w:val="24"/>
                <w:szCs w:val="24"/>
                <w:lang w:eastAsia="ru-RU"/>
              </w:rPr>
            </w:pPr>
            <w:r w:rsidRPr="00F45908">
              <w:rPr>
                <w:rFonts w:eastAsia="Times New Roman"/>
                <w:sz w:val="24"/>
                <w:szCs w:val="24"/>
                <w:lang w:eastAsia="ru-RU"/>
              </w:rPr>
              <w:t>В</w:t>
            </w:r>
          </w:p>
        </w:tc>
        <w:tc>
          <w:tcPr>
            <w:tcW w:w="369" w:type="dxa"/>
            <w:vAlign w:val="center"/>
          </w:tcPr>
          <w:p w:rsidR="00F45908" w:rsidRPr="00F45908" w:rsidRDefault="00F45908" w:rsidP="00F45908">
            <w:pPr>
              <w:jc w:val="center"/>
              <w:rPr>
                <w:rFonts w:eastAsia="Times New Roman"/>
                <w:sz w:val="24"/>
                <w:szCs w:val="24"/>
                <w:lang w:val="en-US" w:eastAsia="ru-RU"/>
              </w:rPr>
            </w:pPr>
            <w:r w:rsidRPr="00F45908">
              <w:rPr>
                <w:rFonts w:eastAsia="Times New Roman"/>
                <w:sz w:val="24"/>
                <w:szCs w:val="24"/>
                <w:lang w:val="en-US" w:eastAsia="ru-RU"/>
              </w:rPr>
              <w:t>0</w:t>
            </w:r>
          </w:p>
        </w:tc>
        <w:tc>
          <w:tcPr>
            <w:tcW w:w="369" w:type="dxa"/>
            <w:vAlign w:val="center"/>
          </w:tcPr>
          <w:p w:rsidR="00F45908" w:rsidRPr="00F45908" w:rsidRDefault="00F45908" w:rsidP="00F45908">
            <w:pPr>
              <w:jc w:val="center"/>
              <w:rPr>
                <w:rFonts w:eastAsia="Times New Roman"/>
                <w:sz w:val="24"/>
                <w:szCs w:val="24"/>
                <w:lang w:val="en-US" w:eastAsia="ru-RU"/>
              </w:rPr>
            </w:pPr>
            <w:r w:rsidRPr="00F45908">
              <w:rPr>
                <w:rFonts w:eastAsia="Times New Roman"/>
                <w:sz w:val="24"/>
                <w:szCs w:val="24"/>
                <w:lang w:val="en-US" w:eastAsia="ru-RU"/>
              </w:rPr>
              <w:t>0</w:t>
            </w:r>
          </w:p>
        </w:tc>
        <w:tc>
          <w:tcPr>
            <w:tcW w:w="369" w:type="dxa"/>
            <w:vAlign w:val="center"/>
          </w:tcPr>
          <w:p w:rsidR="00F45908" w:rsidRPr="00F45908" w:rsidRDefault="00F45908" w:rsidP="00F45908">
            <w:pPr>
              <w:jc w:val="center"/>
              <w:rPr>
                <w:rFonts w:eastAsia="Times New Roman"/>
                <w:sz w:val="24"/>
                <w:szCs w:val="24"/>
                <w:lang w:eastAsia="ru-RU"/>
              </w:rPr>
            </w:pPr>
            <w:r w:rsidRPr="00F45908">
              <w:rPr>
                <w:rFonts w:eastAsia="Times New Roman"/>
                <w:sz w:val="24"/>
                <w:szCs w:val="24"/>
                <w:lang w:eastAsia="ru-RU"/>
              </w:rPr>
              <w:t>2</w:t>
            </w:r>
          </w:p>
        </w:tc>
        <w:tc>
          <w:tcPr>
            <w:tcW w:w="369" w:type="dxa"/>
            <w:vAlign w:val="center"/>
          </w:tcPr>
          <w:p w:rsidR="00F45908" w:rsidRPr="00F45908" w:rsidRDefault="00F45908" w:rsidP="00F45908">
            <w:pPr>
              <w:jc w:val="center"/>
              <w:rPr>
                <w:rFonts w:eastAsia="Times New Roman"/>
                <w:sz w:val="24"/>
                <w:szCs w:val="24"/>
                <w:lang w:val="en-US" w:eastAsia="ru-RU"/>
              </w:rPr>
            </w:pPr>
            <w:r w:rsidRPr="00F45908">
              <w:rPr>
                <w:rFonts w:eastAsia="Times New Roman"/>
                <w:sz w:val="24"/>
                <w:szCs w:val="24"/>
                <w:lang w:val="en-US" w:eastAsia="ru-RU"/>
              </w:rPr>
              <w:t>P</w:t>
            </w:r>
          </w:p>
        </w:tc>
        <w:tc>
          <w:tcPr>
            <w:tcW w:w="369" w:type="dxa"/>
            <w:vAlign w:val="center"/>
          </w:tcPr>
          <w:p w:rsidR="00F45908" w:rsidRPr="00F45908" w:rsidRDefault="00F45908" w:rsidP="00F45908">
            <w:pPr>
              <w:jc w:val="center"/>
              <w:rPr>
                <w:rFonts w:eastAsia="Times New Roman"/>
                <w:sz w:val="24"/>
                <w:szCs w:val="24"/>
                <w:lang w:val="en-US" w:eastAsia="ru-RU"/>
              </w:rPr>
            </w:pPr>
            <w:r w:rsidRPr="00F45908">
              <w:rPr>
                <w:rFonts w:eastAsia="Times New Roman"/>
                <w:sz w:val="24"/>
                <w:szCs w:val="24"/>
                <w:lang w:val="en-US" w:eastAsia="ru-RU"/>
              </w:rPr>
              <w:t>0</w:t>
            </w:r>
          </w:p>
        </w:tc>
        <w:tc>
          <w:tcPr>
            <w:tcW w:w="369" w:type="dxa"/>
            <w:vAlign w:val="center"/>
          </w:tcPr>
          <w:p w:rsidR="00F45908" w:rsidRPr="00F45908" w:rsidRDefault="00F45908" w:rsidP="00F45908">
            <w:pPr>
              <w:jc w:val="center"/>
              <w:rPr>
                <w:rFonts w:eastAsia="Times New Roman"/>
                <w:sz w:val="24"/>
                <w:szCs w:val="24"/>
                <w:lang w:val="en-US" w:eastAsia="ru-RU"/>
              </w:rPr>
            </w:pPr>
            <w:r w:rsidRPr="00F45908">
              <w:rPr>
                <w:rFonts w:eastAsia="Times New Roman"/>
                <w:sz w:val="24"/>
                <w:szCs w:val="24"/>
                <w:lang w:val="en-US" w:eastAsia="ru-RU"/>
              </w:rPr>
              <w:t>2</w:t>
            </w:r>
          </w:p>
        </w:tc>
        <w:tc>
          <w:tcPr>
            <w:tcW w:w="369" w:type="dxa"/>
            <w:vAlign w:val="center"/>
          </w:tcPr>
          <w:p w:rsidR="00F45908" w:rsidRPr="00F45908" w:rsidRDefault="00F45908" w:rsidP="00F45908">
            <w:pPr>
              <w:jc w:val="center"/>
              <w:rPr>
                <w:rFonts w:eastAsia="Times New Roman"/>
                <w:sz w:val="24"/>
                <w:szCs w:val="24"/>
                <w:lang w:val="en-US" w:eastAsia="ru-RU"/>
              </w:rPr>
            </w:pPr>
            <w:r w:rsidRPr="00F45908">
              <w:rPr>
                <w:rFonts w:eastAsia="Times New Roman"/>
                <w:sz w:val="24"/>
                <w:szCs w:val="24"/>
                <w:lang w:val="en-US" w:eastAsia="ru-RU"/>
              </w:rPr>
              <w:t>E</w:t>
            </w:r>
          </w:p>
        </w:tc>
      </w:tr>
    </w:tbl>
    <w:p w:rsidR="00F45908" w:rsidRPr="00F45908" w:rsidRDefault="00F45908" w:rsidP="00F45908">
      <w:pPr>
        <w:jc w:val="center"/>
        <w:rPr>
          <w:rFonts w:eastAsia="Times New Roman"/>
          <w:sz w:val="24"/>
          <w:szCs w:val="24"/>
          <w:lang w:eastAsia="ru-RU"/>
        </w:rPr>
      </w:pPr>
    </w:p>
    <w:p w:rsidR="00F45908" w:rsidRPr="00F45908" w:rsidRDefault="00F45908" w:rsidP="00F45908">
      <w:pPr>
        <w:jc w:val="center"/>
        <w:rPr>
          <w:rFonts w:eastAsia="Times New Roman"/>
          <w:sz w:val="24"/>
          <w:szCs w:val="24"/>
          <w:lang w:eastAsia="ru-RU"/>
        </w:rPr>
      </w:pPr>
      <w:r w:rsidRPr="00F45908">
        <w:rPr>
          <w:rFonts w:eastAsia="Times New Roman"/>
          <w:sz w:val="24"/>
          <w:szCs w:val="24"/>
          <w:lang w:eastAsia="ru-RU"/>
        </w:rPr>
        <w:t>Дата присвоения идентификационного номера программе биржевых облигаций</w:t>
      </w:r>
    </w:p>
    <w:p w:rsidR="00F45908" w:rsidRPr="00F45908" w:rsidRDefault="00F45908" w:rsidP="00F45908">
      <w:pPr>
        <w:jc w:val="center"/>
        <w:rPr>
          <w:rFonts w:eastAsia="Times New Roman"/>
          <w:sz w:val="24"/>
          <w:szCs w:val="24"/>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588"/>
        <w:gridCol w:w="369"/>
        <w:gridCol w:w="369"/>
        <w:gridCol w:w="368"/>
      </w:tblGrid>
      <w:tr w:rsidR="00F45908" w:rsidRPr="00F45908" w:rsidTr="0073406E">
        <w:trPr>
          <w:jc w:val="center"/>
        </w:trPr>
        <w:tc>
          <w:tcPr>
            <w:tcW w:w="170" w:type="dxa"/>
            <w:tcBorders>
              <w:top w:val="nil"/>
              <w:left w:val="nil"/>
              <w:bottom w:val="nil"/>
              <w:right w:val="nil"/>
            </w:tcBorders>
            <w:vAlign w:val="bottom"/>
          </w:tcPr>
          <w:p w:rsidR="00F45908" w:rsidRPr="00F45908" w:rsidRDefault="00F45908" w:rsidP="00F45908">
            <w:pPr>
              <w:rPr>
                <w:rFonts w:eastAsia="Times New Roman"/>
                <w:sz w:val="24"/>
                <w:szCs w:val="24"/>
                <w:lang w:eastAsia="ru-RU"/>
              </w:rPr>
            </w:pPr>
            <w:r w:rsidRPr="00F45908">
              <w:rPr>
                <w:rFonts w:eastAsia="Times New Roman"/>
                <w:sz w:val="24"/>
                <w:szCs w:val="24"/>
                <w:lang w:eastAsia="ru-RU"/>
              </w:rPr>
              <w:t>“</w:t>
            </w:r>
          </w:p>
        </w:tc>
        <w:tc>
          <w:tcPr>
            <w:tcW w:w="454" w:type="dxa"/>
            <w:tcBorders>
              <w:top w:val="nil"/>
              <w:left w:val="nil"/>
              <w:bottom w:val="single" w:sz="4" w:space="0" w:color="auto"/>
              <w:right w:val="nil"/>
            </w:tcBorders>
            <w:vAlign w:val="bottom"/>
          </w:tcPr>
          <w:p w:rsidR="00F45908" w:rsidRPr="00F45908" w:rsidRDefault="00F45908" w:rsidP="00F45908">
            <w:pPr>
              <w:jc w:val="center"/>
              <w:rPr>
                <w:rFonts w:eastAsia="Times New Roman"/>
                <w:sz w:val="24"/>
                <w:szCs w:val="24"/>
                <w:lang w:eastAsia="ru-RU"/>
              </w:rPr>
            </w:pPr>
            <w:r w:rsidRPr="00F45908">
              <w:rPr>
                <w:rFonts w:eastAsia="Times New Roman"/>
                <w:sz w:val="24"/>
                <w:szCs w:val="24"/>
                <w:lang w:eastAsia="ru-RU"/>
              </w:rPr>
              <w:t>15</w:t>
            </w:r>
          </w:p>
        </w:tc>
        <w:tc>
          <w:tcPr>
            <w:tcW w:w="255" w:type="dxa"/>
            <w:tcBorders>
              <w:top w:val="nil"/>
              <w:left w:val="nil"/>
              <w:bottom w:val="nil"/>
              <w:right w:val="nil"/>
            </w:tcBorders>
            <w:vAlign w:val="bottom"/>
          </w:tcPr>
          <w:p w:rsidR="00F45908" w:rsidRPr="00F45908" w:rsidRDefault="00F45908" w:rsidP="00F45908">
            <w:pPr>
              <w:rPr>
                <w:rFonts w:eastAsia="Times New Roman"/>
                <w:sz w:val="24"/>
                <w:szCs w:val="24"/>
                <w:lang w:eastAsia="ru-RU"/>
              </w:rPr>
            </w:pPr>
            <w:r w:rsidRPr="00F45908">
              <w:rPr>
                <w:rFonts w:eastAsia="Times New Roman"/>
                <w:sz w:val="24"/>
                <w:szCs w:val="24"/>
                <w:lang w:eastAsia="ru-RU"/>
              </w:rPr>
              <w:t>”</w:t>
            </w:r>
          </w:p>
        </w:tc>
        <w:tc>
          <w:tcPr>
            <w:tcW w:w="1588" w:type="dxa"/>
            <w:tcBorders>
              <w:top w:val="nil"/>
              <w:left w:val="nil"/>
              <w:bottom w:val="single" w:sz="4" w:space="0" w:color="auto"/>
              <w:right w:val="nil"/>
            </w:tcBorders>
            <w:vAlign w:val="bottom"/>
          </w:tcPr>
          <w:p w:rsidR="00F45908" w:rsidRPr="00F45908" w:rsidRDefault="00F45908" w:rsidP="00F45908">
            <w:pPr>
              <w:jc w:val="center"/>
              <w:rPr>
                <w:rFonts w:eastAsia="Times New Roman"/>
                <w:sz w:val="24"/>
                <w:szCs w:val="24"/>
                <w:lang w:eastAsia="ru-RU"/>
              </w:rPr>
            </w:pPr>
            <w:r w:rsidRPr="00F45908">
              <w:rPr>
                <w:rFonts w:eastAsia="Times New Roman"/>
                <w:sz w:val="24"/>
                <w:szCs w:val="24"/>
                <w:lang w:eastAsia="ru-RU"/>
              </w:rPr>
              <w:t>декабря</w:t>
            </w:r>
          </w:p>
        </w:tc>
        <w:tc>
          <w:tcPr>
            <w:tcW w:w="369" w:type="dxa"/>
            <w:tcBorders>
              <w:top w:val="nil"/>
              <w:left w:val="nil"/>
              <w:bottom w:val="nil"/>
              <w:right w:val="nil"/>
            </w:tcBorders>
            <w:vAlign w:val="bottom"/>
          </w:tcPr>
          <w:p w:rsidR="00F45908" w:rsidRPr="00F45908" w:rsidRDefault="00F45908" w:rsidP="00F45908">
            <w:pPr>
              <w:jc w:val="right"/>
              <w:rPr>
                <w:rFonts w:eastAsia="Times New Roman"/>
                <w:sz w:val="24"/>
                <w:szCs w:val="24"/>
                <w:lang w:eastAsia="ru-RU"/>
              </w:rPr>
            </w:pPr>
            <w:r w:rsidRPr="00F45908">
              <w:rPr>
                <w:rFonts w:eastAsia="Times New Roman"/>
                <w:sz w:val="24"/>
                <w:szCs w:val="24"/>
                <w:lang w:eastAsia="ru-RU"/>
              </w:rPr>
              <w:t>20</w:t>
            </w:r>
          </w:p>
        </w:tc>
        <w:tc>
          <w:tcPr>
            <w:tcW w:w="369" w:type="dxa"/>
            <w:tcBorders>
              <w:top w:val="nil"/>
              <w:left w:val="nil"/>
              <w:bottom w:val="single" w:sz="4" w:space="0" w:color="auto"/>
              <w:right w:val="nil"/>
            </w:tcBorders>
            <w:vAlign w:val="bottom"/>
          </w:tcPr>
          <w:p w:rsidR="00F45908" w:rsidRPr="00F45908" w:rsidRDefault="00F45908" w:rsidP="00F45908">
            <w:pPr>
              <w:rPr>
                <w:rFonts w:eastAsia="Times New Roman"/>
                <w:sz w:val="24"/>
                <w:szCs w:val="24"/>
                <w:lang w:eastAsia="ru-RU"/>
              </w:rPr>
            </w:pPr>
            <w:r w:rsidRPr="00F45908">
              <w:rPr>
                <w:rFonts w:eastAsia="Times New Roman"/>
                <w:sz w:val="24"/>
                <w:szCs w:val="24"/>
                <w:lang w:eastAsia="ru-RU"/>
              </w:rPr>
              <w:t>16</w:t>
            </w:r>
          </w:p>
        </w:tc>
        <w:tc>
          <w:tcPr>
            <w:tcW w:w="368" w:type="dxa"/>
            <w:tcBorders>
              <w:top w:val="nil"/>
              <w:left w:val="nil"/>
              <w:bottom w:val="nil"/>
              <w:right w:val="nil"/>
            </w:tcBorders>
            <w:vAlign w:val="bottom"/>
          </w:tcPr>
          <w:p w:rsidR="00F45908" w:rsidRPr="00F45908" w:rsidRDefault="00F45908" w:rsidP="00F45908">
            <w:pPr>
              <w:tabs>
                <w:tab w:val="left" w:pos="2098"/>
              </w:tabs>
              <w:ind w:left="57"/>
              <w:rPr>
                <w:rFonts w:eastAsia="Times New Roman"/>
                <w:sz w:val="24"/>
                <w:szCs w:val="24"/>
                <w:lang w:eastAsia="ru-RU"/>
              </w:rPr>
            </w:pPr>
            <w:r w:rsidRPr="00F45908">
              <w:rPr>
                <w:rFonts w:eastAsia="Times New Roman"/>
                <w:sz w:val="24"/>
                <w:szCs w:val="24"/>
                <w:lang w:eastAsia="ru-RU"/>
              </w:rPr>
              <w:t>г.</w:t>
            </w:r>
          </w:p>
        </w:tc>
      </w:tr>
    </w:tbl>
    <w:p w:rsidR="00F45908" w:rsidRPr="00F45908" w:rsidRDefault="00F45908" w:rsidP="00F45908">
      <w:pPr>
        <w:tabs>
          <w:tab w:val="right" w:pos="9923"/>
        </w:tabs>
        <w:spacing w:before="240"/>
        <w:jc w:val="both"/>
        <w:rPr>
          <w:sz w:val="24"/>
          <w:szCs w:val="24"/>
        </w:rPr>
      </w:pPr>
      <w:r w:rsidRPr="00F45908">
        <w:rPr>
          <w:sz w:val="24"/>
          <w:szCs w:val="24"/>
        </w:rPr>
        <w:t xml:space="preserve">Изменения вносятся по решению </w:t>
      </w:r>
      <w:r w:rsidRPr="00F45908">
        <w:rPr>
          <w:b/>
          <w:i/>
          <w:sz w:val="24"/>
          <w:szCs w:val="24"/>
        </w:rPr>
        <w:t>Совета директоров Государственного специализированного Российского экспортно-импортного банка (акционерное общество) о внесении изменений в Программу</w:t>
      </w:r>
      <w:r w:rsidRPr="00F45908">
        <w:rPr>
          <w:rFonts w:eastAsia="Times New Roman"/>
          <w:lang w:eastAsia="ru-RU"/>
        </w:rPr>
        <w:t xml:space="preserve"> </w:t>
      </w:r>
      <w:r w:rsidRPr="00F45908">
        <w:rPr>
          <w:b/>
          <w:i/>
          <w:sz w:val="24"/>
          <w:szCs w:val="24"/>
        </w:rPr>
        <w:t>биржевых облигаций серии 002Р, идентификационный номер 402790В002P02E от 15.12.2016г.</w:t>
      </w:r>
    </w:p>
    <w:p w:rsidR="001807E2" w:rsidRPr="0027422D" w:rsidRDefault="001807E2" w:rsidP="002A601C">
      <w:pPr>
        <w:tabs>
          <w:tab w:val="right" w:pos="9923"/>
        </w:tabs>
        <w:spacing w:before="240"/>
        <w:jc w:val="both"/>
        <w:rPr>
          <w:sz w:val="24"/>
          <w:szCs w:val="24"/>
        </w:rPr>
      </w:pPr>
    </w:p>
    <w:tbl>
      <w:tblPr>
        <w:tblW w:w="0" w:type="auto"/>
        <w:tblLayout w:type="fixed"/>
        <w:tblCellMar>
          <w:left w:w="28" w:type="dxa"/>
          <w:right w:w="28" w:type="dxa"/>
        </w:tblCellMar>
        <w:tblLook w:val="0000" w:firstRow="0" w:lastRow="0" w:firstColumn="0" w:lastColumn="0" w:noHBand="0" w:noVBand="0"/>
      </w:tblPr>
      <w:tblGrid>
        <w:gridCol w:w="1361"/>
        <w:gridCol w:w="454"/>
        <w:gridCol w:w="255"/>
        <w:gridCol w:w="1077"/>
        <w:gridCol w:w="369"/>
        <w:gridCol w:w="369"/>
        <w:gridCol w:w="1814"/>
        <w:gridCol w:w="454"/>
        <w:gridCol w:w="255"/>
        <w:gridCol w:w="1077"/>
        <w:gridCol w:w="369"/>
        <w:gridCol w:w="369"/>
        <w:gridCol w:w="624"/>
        <w:gridCol w:w="1021"/>
        <w:gridCol w:w="223"/>
      </w:tblGrid>
      <w:tr w:rsidR="001807E2" w:rsidRPr="008F0E06" w:rsidTr="00C06E64">
        <w:trPr>
          <w:cantSplit/>
        </w:trPr>
        <w:tc>
          <w:tcPr>
            <w:tcW w:w="1361" w:type="dxa"/>
            <w:tcBorders>
              <w:top w:val="nil"/>
              <w:left w:val="nil"/>
              <w:bottom w:val="nil"/>
              <w:right w:val="nil"/>
            </w:tcBorders>
            <w:vAlign w:val="bottom"/>
          </w:tcPr>
          <w:p w:rsidR="001807E2" w:rsidRPr="008F0E06" w:rsidRDefault="001807E2" w:rsidP="00C06E64">
            <w:pPr>
              <w:rPr>
                <w:sz w:val="24"/>
                <w:szCs w:val="24"/>
              </w:rPr>
            </w:pPr>
            <w:r w:rsidRPr="008F0E06">
              <w:rPr>
                <w:sz w:val="24"/>
                <w:szCs w:val="24"/>
              </w:rPr>
              <w:t>принятому “</w:t>
            </w:r>
          </w:p>
        </w:tc>
        <w:tc>
          <w:tcPr>
            <w:tcW w:w="454" w:type="dxa"/>
            <w:tcBorders>
              <w:top w:val="nil"/>
              <w:left w:val="nil"/>
              <w:bottom w:val="single" w:sz="4" w:space="0" w:color="auto"/>
              <w:right w:val="nil"/>
            </w:tcBorders>
            <w:vAlign w:val="bottom"/>
          </w:tcPr>
          <w:p w:rsidR="001807E2" w:rsidRPr="00A2180D" w:rsidRDefault="00A2180D" w:rsidP="00C06E64">
            <w:pPr>
              <w:jc w:val="center"/>
              <w:rPr>
                <w:sz w:val="24"/>
                <w:szCs w:val="24"/>
              </w:rPr>
            </w:pPr>
            <w:r>
              <w:rPr>
                <w:sz w:val="24"/>
                <w:szCs w:val="24"/>
              </w:rPr>
              <w:t>24</w:t>
            </w:r>
          </w:p>
        </w:tc>
        <w:tc>
          <w:tcPr>
            <w:tcW w:w="255" w:type="dxa"/>
            <w:tcBorders>
              <w:top w:val="nil"/>
              <w:left w:val="nil"/>
              <w:bottom w:val="nil"/>
              <w:right w:val="nil"/>
            </w:tcBorders>
            <w:vAlign w:val="bottom"/>
          </w:tcPr>
          <w:p w:rsidR="001807E2" w:rsidRPr="008F0E06" w:rsidRDefault="001807E2" w:rsidP="00C06E64">
            <w:pPr>
              <w:rPr>
                <w:sz w:val="24"/>
                <w:szCs w:val="24"/>
              </w:rPr>
            </w:pPr>
            <w:r w:rsidRPr="008F0E06">
              <w:rPr>
                <w:sz w:val="24"/>
                <w:szCs w:val="24"/>
              </w:rPr>
              <w:t>”</w:t>
            </w:r>
          </w:p>
        </w:tc>
        <w:tc>
          <w:tcPr>
            <w:tcW w:w="1077" w:type="dxa"/>
            <w:tcBorders>
              <w:top w:val="nil"/>
              <w:left w:val="nil"/>
              <w:bottom w:val="single" w:sz="4" w:space="0" w:color="auto"/>
              <w:right w:val="nil"/>
            </w:tcBorders>
            <w:vAlign w:val="bottom"/>
          </w:tcPr>
          <w:p w:rsidR="001807E2" w:rsidRPr="00237864" w:rsidRDefault="00A2180D" w:rsidP="00C06E64">
            <w:pPr>
              <w:jc w:val="center"/>
              <w:rPr>
                <w:sz w:val="24"/>
                <w:szCs w:val="24"/>
              </w:rPr>
            </w:pPr>
            <w:r>
              <w:rPr>
                <w:sz w:val="24"/>
                <w:szCs w:val="24"/>
              </w:rPr>
              <w:t>апреля</w:t>
            </w:r>
          </w:p>
        </w:tc>
        <w:tc>
          <w:tcPr>
            <w:tcW w:w="369" w:type="dxa"/>
            <w:tcBorders>
              <w:top w:val="nil"/>
              <w:left w:val="nil"/>
              <w:bottom w:val="nil"/>
              <w:right w:val="nil"/>
            </w:tcBorders>
            <w:vAlign w:val="bottom"/>
          </w:tcPr>
          <w:p w:rsidR="001807E2" w:rsidRPr="008F0E06" w:rsidRDefault="001807E2" w:rsidP="00C06E64">
            <w:pPr>
              <w:jc w:val="right"/>
              <w:rPr>
                <w:sz w:val="24"/>
                <w:szCs w:val="24"/>
              </w:rPr>
            </w:pPr>
            <w:r w:rsidRPr="008F0E06">
              <w:rPr>
                <w:sz w:val="24"/>
                <w:szCs w:val="24"/>
              </w:rPr>
              <w:t>20</w:t>
            </w:r>
          </w:p>
        </w:tc>
        <w:tc>
          <w:tcPr>
            <w:tcW w:w="369" w:type="dxa"/>
            <w:tcBorders>
              <w:top w:val="nil"/>
              <w:left w:val="nil"/>
              <w:bottom w:val="single" w:sz="4" w:space="0" w:color="auto"/>
              <w:right w:val="nil"/>
            </w:tcBorders>
            <w:vAlign w:val="bottom"/>
          </w:tcPr>
          <w:p w:rsidR="001807E2" w:rsidRPr="00237864" w:rsidRDefault="00A2180D" w:rsidP="00C06E64">
            <w:pPr>
              <w:jc w:val="center"/>
              <w:rPr>
                <w:sz w:val="24"/>
                <w:szCs w:val="24"/>
              </w:rPr>
            </w:pPr>
            <w:r>
              <w:rPr>
                <w:sz w:val="24"/>
                <w:szCs w:val="24"/>
              </w:rPr>
              <w:t>19</w:t>
            </w:r>
          </w:p>
        </w:tc>
        <w:tc>
          <w:tcPr>
            <w:tcW w:w="1814" w:type="dxa"/>
            <w:tcBorders>
              <w:top w:val="nil"/>
              <w:left w:val="nil"/>
              <w:bottom w:val="nil"/>
              <w:right w:val="nil"/>
            </w:tcBorders>
            <w:vAlign w:val="bottom"/>
          </w:tcPr>
          <w:p w:rsidR="001807E2" w:rsidRPr="008F0E06" w:rsidRDefault="001807E2" w:rsidP="00C06E64">
            <w:pPr>
              <w:jc w:val="right"/>
              <w:rPr>
                <w:sz w:val="24"/>
                <w:szCs w:val="24"/>
              </w:rPr>
            </w:pPr>
            <w:r w:rsidRPr="008F0E06">
              <w:rPr>
                <w:sz w:val="24"/>
                <w:szCs w:val="24"/>
              </w:rPr>
              <w:t>г., протокол от “</w:t>
            </w:r>
          </w:p>
        </w:tc>
        <w:tc>
          <w:tcPr>
            <w:tcW w:w="454" w:type="dxa"/>
            <w:tcBorders>
              <w:top w:val="nil"/>
              <w:left w:val="nil"/>
              <w:bottom w:val="single" w:sz="4" w:space="0" w:color="auto"/>
              <w:right w:val="nil"/>
            </w:tcBorders>
            <w:vAlign w:val="bottom"/>
          </w:tcPr>
          <w:p w:rsidR="001807E2" w:rsidRPr="008F0E06" w:rsidRDefault="00A2180D" w:rsidP="00C06E64">
            <w:pPr>
              <w:jc w:val="center"/>
              <w:rPr>
                <w:sz w:val="24"/>
                <w:szCs w:val="24"/>
              </w:rPr>
            </w:pPr>
            <w:r>
              <w:rPr>
                <w:sz w:val="24"/>
                <w:szCs w:val="24"/>
              </w:rPr>
              <w:t>24</w:t>
            </w:r>
          </w:p>
        </w:tc>
        <w:tc>
          <w:tcPr>
            <w:tcW w:w="255" w:type="dxa"/>
            <w:tcBorders>
              <w:top w:val="nil"/>
              <w:left w:val="nil"/>
              <w:bottom w:val="nil"/>
              <w:right w:val="nil"/>
            </w:tcBorders>
            <w:vAlign w:val="bottom"/>
          </w:tcPr>
          <w:p w:rsidR="001807E2" w:rsidRPr="008F0E06" w:rsidRDefault="001807E2" w:rsidP="00C06E64">
            <w:pPr>
              <w:rPr>
                <w:sz w:val="24"/>
                <w:szCs w:val="24"/>
              </w:rPr>
            </w:pPr>
            <w:r w:rsidRPr="008F0E06">
              <w:rPr>
                <w:sz w:val="24"/>
                <w:szCs w:val="24"/>
              </w:rPr>
              <w:t>”</w:t>
            </w:r>
          </w:p>
        </w:tc>
        <w:tc>
          <w:tcPr>
            <w:tcW w:w="1077" w:type="dxa"/>
            <w:tcBorders>
              <w:top w:val="nil"/>
              <w:left w:val="nil"/>
              <w:bottom w:val="single" w:sz="4" w:space="0" w:color="auto"/>
              <w:right w:val="nil"/>
            </w:tcBorders>
            <w:vAlign w:val="bottom"/>
          </w:tcPr>
          <w:p w:rsidR="001807E2" w:rsidRPr="008F0E06" w:rsidRDefault="00A2180D" w:rsidP="00C06E64">
            <w:pPr>
              <w:jc w:val="center"/>
              <w:rPr>
                <w:sz w:val="24"/>
                <w:szCs w:val="24"/>
              </w:rPr>
            </w:pPr>
            <w:r>
              <w:rPr>
                <w:sz w:val="24"/>
                <w:szCs w:val="24"/>
              </w:rPr>
              <w:t>апреля</w:t>
            </w:r>
          </w:p>
        </w:tc>
        <w:tc>
          <w:tcPr>
            <w:tcW w:w="369" w:type="dxa"/>
            <w:tcBorders>
              <w:top w:val="nil"/>
              <w:left w:val="nil"/>
              <w:bottom w:val="nil"/>
              <w:right w:val="nil"/>
            </w:tcBorders>
            <w:vAlign w:val="bottom"/>
          </w:tcPr>
          <w:p w:rsidR="001807E2" w:rsidRPr="008F0E06" w:rsidRDefault="001807E2" w:rsidP="00C06E64">
            <w:pPr>
              <w:jc w:val="right"/>
              <w:rPr>
                <w:sz w:val="24"/>
                <w:szCs w:val="24"/>
              </w:rPr>
            </w:pPr>
            <w:r w:rsidRPr="008F0E06">
              <w:rPr>
                <w:sz w:val="24"/>
                <w:szCs w:val="24"/>
              </w:rPr>
              <w:t>20</w:t>
            </w:r>
          </w:p>
        </w:tc>
        <w:tc>
          <w:tcPr>
            <w:tcW w:w="369" w:type="dxa"/>
            <w:tcBorders>
              <w:top w:val="nil"/>
              <w:left w:val="nil"/>
              <w:bottom w:val="single" w:sz="4" w:space="0" w:color="auto"/>
              <w:right w:val="nil"/>
            </w:tcBorders>
            <w:vAlign w:val="bottom"/>
          </w:tcPr>
          <w:p w:rsidR="001807E2" w:rsidRPr="00237864" w:rsidRDefault="00A2180D" w:rsidP="00C06E64">
            <w:pPr>
              <w:jc w:val="center"/>
              <w:rPr>
                <w:sz w:val="24"/>
                <w:szCs w:val="24"/>
              </w:rPr>
            </w:pPr>
            <w:r>
              <w:rPr>
                <w:sz w:val="24"/>
                <w:szCs w:val="24"/>
              </w:rPr>
              <w:t>19</w:t>
            </w:r>
          </w:p>
        </w:tc>
        <w:tc>
          <w:tcPr>
            <w:tcW w:w="624" w:type="dxa"/>
            <w:tcBorders>
              <w:top w:val="nil"/>
              <w:left w:val="nil"/>
              <w:bottom w:val="nil"/>
              <w:right w:val="nil"/>
            </w:tcBorders>
            <w:vAlign w:val="bottom"/>
          </w:tcPr>
          <w:p w:rsidR="001807E2" w:rsidRPr="008F0E06" w:rsidRDefault="001807E2" w:rsidP="00C06E64">
            <w:pPr>
              <w:jc w:val="center"/>
              <w:rPr>
                <w:sz w:val="24"/>
                <w:szCs w:val="24"/>
              </w:rPr>
            </w:pPr>
            <w:r w:rsidRPr="008F0E06">
              <w:rPr>
                <w:sz w:val="24"/>
                <w:szCs w:val="24"/>
              </w:rPr>
              <w:t>г. №</w:t>
            </w:r>
          </w:p>
        </w:tc>
        <w:tc>
          <w:tcPr>
            <w:tcW w:w="1021" w:type="dxa"/>
            <w:tcBorders>
              <w:top w:val="nil"/>
              <w:left w:val="nil"/>
              <w:bottom w:val="single" w:sz="4" w:space="0" w:color="auto"/>
              <w:right w:val="nil"/>
            </w:tcBorders>
            <w:vAlign w:val="bottom"/>
          </w:tcPr>
          <w:p w:rsidR="001807E2" w:rsidRPr="008F0E06" w:rsidRDefault="00A2180D" w:rsidP="00C06E64">
            <w:pPr>
              <w:jc w:val="center"/>
              <w:rPr>
                <w:sz w:val="24"/>
                <w:szCs w:val="24"/>
              </w:rPr>
            </w:pPr>
            <w:r>
              <w:rPr>
                <w:sz w:val="24"/>
                <w:szCs w:val="24"/>
              </w:rPr>
              <w:t>3</w:t>
            </w:r>
          </w:p>
        </w:tc>
        <w:tc>
          <w:tcPr>
            <w:tcW w:w="223" w:type="dxa"/>
            <w:tcBorders>
              <w:top w:val="nil"/>
              <w:left w:val="nil"/>
              <w:bottom w:val="nil"/>
              <w:right w:val="nil"/>
            </w:tcBorders>
            <w:vAlign w:val="bottom"/>
          </w:tcPr>
          <w:p w:rsidR="001807E2" w:rsidRPr="008F0E06" w:rsidRDefault="001807E2" w:rsidP="00C06E64">
            <w:pPr>
              <w:rPr>
                <w:sz w:val="24"/>
                <w:szCs w:val="24"/>
              </w:rPr>
            </w:pPr>
            <w:r w:rsidRPr="008F0E06">
              <w:rPr>
                <w:sz w:val="24"/>
                <w:szCs w:val="24"/>
              </w:rPr>
              <w:t>.</w:t>
            </w:r>
          </w:p>
        </w:tc>
      </w:tr>
    </w:tbl>
    <w:p w:rsidR="001807E2" w:rsidRDefault="001807E2" w:rsidP="00530A0D">
      <w:pPr>
        <w:ind w:right="3542"/>
        <w:rPr>
          <w:lang w:val="en-US"/>
        </w:rPr>
      </w:pPr>
    </w:p>
    <w:p w:rsidR="001807E2" w:rsidRPr="00791CDB" w:rsidRDefault="001807E2" w:rsidP="00530A0D">
      <w:pPr>
        <w:ind w:right="3542"/>
        <w:rPr>
          <w:lang w:val="en-US"/>
        </w:rPr>
      </w:pPr>
    </w:p>
    <w:p w:rsidR="00F45908" w:rsidRPr="00F45908" w:rsidRDefault="00F45908" w:rsidP="00F45908">
      <w:pPr>
        <w:rPr>
          <w:rFonts w:eastAsia="Times New Roman"/>
          <w:b/>
          <w:i/>
          <w:szCs w:val="22"/>
          <w:lang w:eastAsia="ru-RU"/>
        </w:rPr>
      </w:pPr>
      <w:r w:rsidRPr="00F45908">
        <w:rPr>
          <w:rFonts w:eastAsia="Times New Roman"/>
          <w:sz w:val="24"/>
          <w:szCs w:val="24"/>
          <w:lang w:eastAsia="ru-RU"/>
        </w:rPr>
        <w:t>Место нахождения эмитента и контактные телефоны:</w:t>
      </w:r>
    </w:p>
    <w:p w:rsidR="00F45908" w:rsidRPr="00F45908" w:rsidRDefault="00F45908" w:rsidP="00F45908">
      <w:pPr>
        <w:jc w:val="both"/>
        <w:rPr>
          <w:rFonts w:eastAsia="Times New Roman"/>
          <w:sz w:val="24"/>
          <w:szCs w:val="24"/>
          <w:lang w:eastAsia="ru-RU"/>
        </w:rPr>
      </w:pPr>
    </w:p>
    <w:p w:rsidR="00F45908" w:rsidRPr="00F45908" w:rsidRDefault="00F45908" w:rsidP="00F45908">
      <w:pPr>
        <w:jc w:val="both"/>
        <w:rPr>
          <w:rFonts w:eastAsia="Times New Roman"/>
          <w:sz w:val="24"/>
          <w:szCs w:val="24"/>
          <w:lang w:eastAsia="ru-RU"/>
        </w:rPr>
      </w:pPr>
      <w:r w:rsidRPr="00F45908">
        <w:rPr>
          <w:rFonts w:eastAsia="Times New Roman"/>
          <w:sz w:val="24"/>
          <w:szCs w:val="24"/>
          <w:lang w:eastAsia="ru-RU"/>
        </w:rPr>
        <w:t xml:space="preserve">Место нахождения: </w:t>
      </w:r>
      <w:r w:rsidRPr="00F45908">
        <w:rPr>
          <w:rFonts w:eastAsia="Times New Roman"/>
          <w:b/>
          <w:i/>
          <w:sz w:val="24"/>
          <w:szCs w:val="24"/>
          <w:lang w:eastAsia="ru-RU"/>
        </w:rPr>
        <w:t>г. Москва</w:t>
      </w:r>
    </w:p>
    <w:p w:rsidR="00F45908" w:rsidRPr="00F45908" w:rsidRDefault="00F45908" w:rsidP="00F45908">
      <w:pPr>
        <w:rPr>
          <w:rFonts w:eastAsia="Times New Roman"/>
          <w:sz w:val="24"/>
          <w:szCs w:val="24"/>
          <w:lang w:eastAsia="ru-RU"/>
        </w:rPr>
      </w:pPr>
    </w:p>
    <w:p w:rsidR="00F45908" w:rsidRPr="00F45908" w:rsidRDefault="00F45908" w:rsidP="00F45908">
      <w:pPr>
        <w:rPr>
          <w:rFonts w:eastAsia="Times New Roman"/>
          <w:sz w:val="24"/>
          <w:szCs w:val="24"/>
          <w:lang w:eastAsia="ru-RU"/>
        </w:rPr>
      </w:pPr>
      <w:r w:rsidRPr="00F45908">
        <w:rPr>
          <w:rFonts w:eastAsia="Times New Roman"/>
          <w:sz w:val="24"/>
          <w:szCs w:val="24"/>
          <w:lang w:eastAsia="ru-RU"/>
        </w:rPr>
        <w:t xml:space="preserve">Контактный телефон: </w:t>
      </w:r>
      <w:r w:rsidRPr="00F45908">
        <w:rPr>
          <w:rFonts w:eastAsia="Times New Roman"/>
          <w:b/>
          <w:i/>
          <w:sz w:val="24"/>
          <w:szCs w:val="24"/>
          <w:lang w:eastAsia="ru-RU"/>
        </w:rPr>
        <w:t>(495) 967-07-67</w:t>
      </w:r>
    </w:p>
    <w:p w:rsidR="001807E2" w:rsidRPr="0027422D" w:rsidRDefault="001807E2" w:rsidP="00BA7839">
      <w:pPr>
        <w:rPr>
          <w:sz w:val="24"/>
          <w:szCs w:val="24"/>
        </w:rPr>
      </w:pPr>
    </w:p>
    <w:p w:rsidR="001807E2" w:rsidRPr="0027422D" w:rsidRDefault="001807E2" w:rsidP="00BA7839">
      <w:pPr>
        <w:rPr>
          <w:sz w:val="24"/>
          <w:szCs w:val="24"/>
        </w:rPr>
      </w:pPr>
      <w:r w:rsidRPr="0027422D">
        <w:rPr>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962"/>
      </w:tblGrid>
      <w:tr w:rsidR="001807E2" w:rsidRPr="00267F97" w:rsidTr="00A41B88">
        <w:trPr>
          <w:trHeight w:val="1266"/>
        </w:trPr>
        <w:tc>
          <w:tcPr>
            <w:tcW w:w="3001" w:type="pct"/>
            <w:tcBorders>
              <w:right w:val="nil"/>
            </w:tcBorders>
          </w:tcPr>
          <w:p w:rsidR="00713681" w:rsidRDefault="00A41B88" w:rsidP="00A41B88">
            <w:pPr>
              <w:autoSpaceDE/>
              <w:autoSpaceDN/>
              <w:rPr>
                <w:b/>
                <w:bCs/>
                <w:sz w:val="24"/>
                <w:szCs w:val="24"/>
              </w:rPr>
            </w:pPr>
            <w:r w:rsidRPr="00A41B88">
              <w:rPr>
                <w:b/>
                <w:bCs/>
                <w:sz w:val="24"/>
                <w:szCs w:val="24"/>
              </w:rPr>
              <w:lastRenderedPageBreak/>
              <w:t>И</w:t>
            </w:r>
            <w:r w:rsidR="00A2180D">
              <w:rPr>
                <w:b/>
                <w:bCs/>
                <w:sz w:val="24"/>
                <w:szCs w:val="24"/>
              </w:rPr>
              <w:t>.</w:t>
            </w:r>
            <w:r w:rsidRPr="00A41B88">
              <w:rPr>
                <w:b/>
                <w:bCs/>
                <w:sz w:val="24"/>
                <w:szCs w:val="24"/>
              </w:rPr>
              <w:t xml:space="preserve"> о</w:t>
            </w:r>
            <w:r w:rsidR="00864015">
              <w:rPr>
                <w:b/>
                <w:bCs/>
                <w:sz w:val="24"/>
                <w:szCs w:val="24"/>
              </w:rPr>
              <w:t>.</w:t>
            </w:r>
            <w:r w:rsidRPr="00A41B88">
              <w:rPr>
                <w:b/>
                <w:bCs/>
                <w:sz w:val="24"/>
                <w:szCs w:val="24"/>
              </w:rPr>
              <w:t xml:space="preserve"> Председателя Правления </w:t>
            </w:r>
          </w:p>
          <w:p w:rsidR="00A41B88" w:rsidRPr="00A41B88" w:rsidRDefault="00A41B88" w:rsidP="00A41B88">
            <w:pPr>
              <w:autoSpaceDE/>
              <w:autoSpaceDN/>
              <w:rPr>
                <w:b/>
                <w:bCs/>
                <w:sz w:val="24"/>
                <w:szCs w:val="24"/>
              </w:rPr>
            </w:pPr>
            <w:r w:rsidRPr="00A41B88">
              <w:rPr>
                <w:b/>
                <w:bCs/>
                <w:sz w:val="24"/>
                <w:szCs w:val="24"/>
              </w:rPr>
              <w:t>АО РОСЭКСИМБАНК</w:t>
            </w:r>
          </w:p>
          <w:p w:rsidR="00A41B88" w:rsidRPr="0027422D" w:rsidRDefault="00A41B88" w:rsidP="00396856">
            <w:pPr>
              <w:autoSpaceDE/>
              <w:autoSpaceDN/>
              <w:rPr>
                <w:rFonts w:eastAsia="Times New Roman"/>
                <w:iCs/>
                <w:sz w:val="16"/>
                <w:szCs w:val="16"/>
                <w:lang w:eastAsia="en-US"/>
              </w:rPr>
            </w:pPr>
          </w:p>
          <w:p w:rsidR="001807E2" w:rsidRPr="00A41B88" w:rsidRDefault="001807E2" w:rsidP="00203141">
            <w:pPr>
              <w:rPr>
                <w:rFonts w:eastAsia="Times New Roman"/>
                <w:sz w:val="16"/>
                <w:szCs w:val="16"/>
                <w:lang w:eastAsia="ru-RU"/>
              </w:rPr>
            </w:pPr>
            <w:r w:rsidRPr="00A2180D">
              <w:rPr>
                <w:rFonts w:eastAsia="Times New Roman"/>
                <w:sz w:val="24"/>
                <w:szCs w:val="24"/>
                <w:lang w:eastAsia="ru-RU"/>
              </w:rPr>
              <w:t>Дата "</w:t>
            </w:r>
            <w:r w:rsidR="00A2180D" w:rsidRPr="00A2180D">
              <w:rPr>
                <w:rFonts w:eastAsia="Times New Roman"/>
                <w:sz w:val="24"/>
                <w:szCs w:val="24"/>
                <w:u w:val="single"/>
                <w:lang w:eastAsia="ru-RU"/>
              </w:rPr>
              <w:t>2</w:t>
            </w:r>
            <w:r w:rsidR="00203141">
              <w:rPr>
                <w:rFonts w:eastAsia="Times New Roman"/>
                <w:sz w:val="24"/>
                <w:szCs w:val="24"/>
                <w:u w:val="single"/>
                <w:lang w:eastAsia="ru-RU"/>
              </w:rPr>
              <w:t>9</w:t>
            </w:r>
            <w:r w:rsidRPr="00A2180D">
              <w:rPr>
                <w:rFonts w:eastAsia="Times New Roman"/>
                <w:sz w:val="24"/>
                <w:szCs w:val="24"/>
                <w:lang w:eastAsia="ru-RU"/>
              </w:rPr>
              <w:t xml:space="preserve">" </w:t>
            </w:r>
            <w:r w:rsidR="00A2180D" w:rsidRPr="00A2180D">
              <w:rPr>
                <w:rFonts w:eastAsia="Times New Roman"/>
                <w:sz w:val="24"/>
                <w:szCs w:val="24"/>
                <w:u w:val="single"/>
                <w:lang w:eastAsia="ru-RU"/>
              </w:rPr>
              <w:t xml:space="preserve">апреля </w:t>
            </w:r>
            <w:r w:rsidR="00A2180D">
              <w:rPr>
                <w:rFonts w:eastAsia="Times New Roman"/>
                <w:sz w:val="24"/>
                <w:szCs w:val="24"/>
                <w:lang w:eastAsia="ru-RU"/>
              </w:rPr>
              <w:t>20</w:t>
            </w:r>
            <w:r w:rsidR="00A2180D" w:rsidRPr="00A2180D">
              <w:rPr>
                <w:rFonts w:eastAsia="Times New Roman"/>
                <w:sz w:val="24"/>
                <w:szCs w:val="24"/>
                <w:u w:val="single"/>
                <w:lang w:eastAsia="ru-RU"/>
              </w:rPr>
              <w:t>19</w:t>
            </w:r>
            <w:r w:rsidRPr="00A2180D">
              <w:rPr>
                <w:rFonts w:eastAsia="Times New Roman"/>
                <w:sz w:val="24"/>
                <w:szCs w:val="24"/>
                <w:lang w:eastAsia="ru-RU"/>
              </w:rPr>
              <w:t xml:space="preserve"> г.</w:t>
            </w:r>
          </w:p>
        </w:tc>
        <w:tc>
          <w:tcPr>
            <w:tcW w:w="1999" w:type="pct"/>
            <w:tcBorders>
              <w:left w:val="nil"/>
            </w:tcBorders>
          </w:tcPr>
          <w:p w:rsidR="001807E2" w:rsidRPr="00267F97" w:rsidRDefault="001807E2" w:rsidP="00396856">
            <w:pPr>
              <w:autoSpaceDE/>
              <w:autoSpaceDN/>
              <w:jc w:val="right"/>
              <w:rPr>
                <w:rFonts w:eastAsia="Times New Roman"/>
                <w:sz w:val="24"/>
                <w:szCs w:val="24"/>
                <w:lang w:eastAsia="ru-RU"/>
              </w:rPr>
            </w:pPr>
          </w:p>
          <w:p w:rsidR="001807E2" w:rsidRDefault="001807E2" w:rsidP="00396856">
            <w:pPr>
              <w:autoSpaceDE/>
              <w:autoSpaceDN/>
              <w:jc w:val="right"/>
              <w:rPr>
                <w:rFonts w:eastAsia="Times New Roman"/>
                <w:sz w:val="24"/>
                <w:szCs w:val="24"/>
                <w:lang w:eastAsia="ru-RU"/>
              </w:rPr>
            </w:pPr>
          </w:p>
          <w:p w:rsidR="00A2180D" w:rsidRDefault="00A2180D" w:rsidP="00A2180D">
            <w:pPr>
              <w:autoSpaceDE/>
              <w:autoSpaceDN/>
              <w:rPr>
                <w:rFonts w:eastAsia="Times New Roman"/>
                <w:sz w:val="24"/>
                <w:szCs w:val="24"/>
                <w:lang w:eastAsia="ru-RU"/>
              </w:rPr>
            </w:pPr>
          </w:p>
          <w:p w:rsidR="001807E2" w:rsidRDefault="001807E2" w:rsidP="00A2180D">
            <w:pPr>
              <w:autoSpaceDE/>
              <w:autoSpaceDN/>
              <w:rPr>
                <w:rFonts w:eastAsia="Times New Roman"/>
                <w:sz w:val="24"/>
                <w:szCs w:val="24"/>
                <w:lang w:eastAsia="ru-RU"/>
              </w:rPr>
            </w:pPr>
            <w:r w:rsidRPr="00267F97">
              <w:rPr>
                <w:rFonts w:eastAsia="Times New Roman"/>
                <w:sz w:val="24"/>
                <w:szCs w:val="24"/>
                <w:lang w:eastAsia="ru-RU"/>
              </w:rPr>
              <w:t xml:space="preserve">_____________ </w:t>
            </w:r>
            <w:r w:rsidR="00A41B88">
              <w:rPr>
                <w:b/>
                <w:bCs/>
                <w:sz w:val="24"/>
                <w:szCs w:val="24"/>
              </w:rPr>
              <w:t>Р.Ю. С</w:t>
            </w:r>
            <w:r w:rsidR="00A2180D">
              <w:rPr>
                <w:b/>
                <w:bCs/>
                <w:sz w:val="24"/>
                <w:szCs w:val="24"/>
              </w:rPr>
              <w:t>МАГИН</w:t>
            </w:r>
          </w:p>
          <w:p w:rsidR="001807E2" w:rsidRPr="0054685E" w:rsidRDefault="001807E2" w:rsidP="00396856">
            <w:pPr>
              <w:autoSpaceDE/>
              <w:autoSpaceDN/>
              <w:jc w:val="both"/>
              <w:rPr>
                <w:rFonts w:eastAsia="Times New Roman"/>
                <w:sz w:val="16"/>
                <w:szCs w:val="16"/>
                <w:lang w:eastAsia="ru-RU"/>
              </w:rPr>
            </w:pPr>
          </w:p>
          <w:p w:rsidR="001807E2" w:rsidRPr="00267F97" w:rsidRDefault="001807E2" w:rsidP="00396856">
            <w:pPr>
              <w:autoSpaceDE/>
              <w:autoSpaceDN/>
              <w:jc w:val="both"/>
              <w:rPr>
                <w:rFonts w:eastAsia="Times New Roman"/>
                <w:sz w:val="24"/>
                <w:szCs w:val="24"/>
                <w:lang w:eastAsia="ru-RU"/>
              </w:rPr>
            </w:pPr>
          </w:p>
        </w:tc>
      </w:tr>
      <w:tr w:rsidR="001807E2" w:rsidRPr="00267F97" w:rsidTr="00A41B88">
        <w:trPr>
          <w:trHeight w:val="1110"/>
        </w:trPr>
        <w:tc>
          <w:tcPr>
            <w:tcW w:w="3001" w:type="pct"/>
            <w:tcBorders>
              <w:right w:val="nil"/>
            </w:tcBorders>
          </w:tcPr>
          <w:p w:rsidR="00713681" w:rsidRPr="009E06BA" w:rsidRDefault="002F7DAB" w:rsidP="00A41B88">
            <w:pPr>
              <w:autoSpaceDE/>
              <w:autoSpaceDN/>
              <w:jc w:val="both"/>
              <w:rPr>
                <w:b/>
                <w:bCs/>
                <w:sz w:val="24"/>
                <w:szCs w:val="24"/>
              </w:rPr>
            </w:pPr>
            <w:r>
              <w:rPr>
                <w:b/>
                <w:bCs/>
                <w:sz w:val="24"/>
                <w:szCs w:val="24"/>
              </w:rPr>
              <w:t xml:space="preserve">И.о. </w:t>
            </w:r>
            <w:r w:rsidR="00A41B88" w:rsidRPr="00A41B88">
              <w:rPr>
                <w:b/>
                <w:bCs/>
                <w:sz w:val="24"/>
                <w:szCs w:val="24"/>
              </w:rPr>
              <w:t>Главн</w:t>
            </w:r>
            <w:r>
              <w:rPr>
                <w:b/>
                <w:bCs/>
                <w:sz w:val="24"/>
                <w:szCs w:val="24"/>
              </w:rPr>
              <w:t>ого</w:t>
            </w:r>
            <w:r w:rsidR="00A41B88" w:rsidRPr="00A41B88">
              <w:rPr>
                <w:b/>
                <w:bCs/>
                <w:sz w:val="24"/>
                <w:szCs w:val="24"/>
              </w:rPr>
              <w:t xml:space="preserve"> бухгалтер</w:t>
            </w:r>
            <w:r>
              <w:rPr>
                <w:b/>
                <w:bCs/>
                <w:sz w:val="24"/>
                <w:szCs w:val="24"/>
              </w:rPr>
              <w:t>а</w:t>
            </w:r>
            <w:r w:rsidR="00A41B88" w:rsidRPr="009E06BA">
              <w:rPr>
                <w:b/>
                <w:bCs/>
                <w:sz w:val="24"/>
                <w:szCs w:val="24"/>
              </w:rPr>
              <w:t xml:space="preserve"> </w:t>
            </w:r>
          </w:p>
          <w:p w:rsidR="00A41B88" w:rsidRPr="00A41B88" w:rsidRDefault="00A41B88" w:rsidP="00A41B88">
            <w:pPr>
              <w:autoSpaceDE/>
              <w:autoSpaceDN/>
              <w:jc w:val="both"/>
              <w:rPr>
                <w:b/>
                <w:bCs/>
                <w:sz w:val="24"/>
                <w:szCs w:val="24"/>
              </w:rPr>
            </w:pPr>
            <w:r w:rsidRPr="00A41B88">
              <w:rPr>
                <w:b/>
                <w:bCs/>
                <w:sz w:val="24"/>
                <w:szCs w:val="24"/>
              </w:rPr>
              <w:t>АО РОСЭКСИМБАНК</w:t>
            </w:r>
          </w:p>
          <w:p w:rsidR="001807E2" w:rsidRPr="00A41B88" w:rsidRDefault="00A41B88" w:rsidP="00A41B88">
            <w:pPr>
              <w:autoSpaceDE/>
              <w:autoSpaceDN/>
              <w:rPr>
                <w:rFonts w:eastAsia="Times New Roman"/>
                <w:iCs/>
                <w:sz w:val="16"/>
                <w:szCs w:val="16"/>
                <w:lang w:eastAsia="en-US"/>
              </w:rPr>
            </w:pPr>
            <w:r w:rsidRPr="00A41B88">
              <w:rPr>
                <w:b/>
                <w:bCs/>
                <w:iCs/>
                <w:sz w:val="24"/>
                <w:szCs w:val="24"/>
              </w:rPr>
              <w:t xml:space="preserve"> </w:t>
            </w:r>
          </w:p>
          <w:p w:rsidR="001807E2" w:rsidRPr="00CE4132" w:rsidRDefault="001807E2" w:rsidP="00203141">
            <w:pPr>
              <w:autoSpaceDE/>
              <w:autoSpaceDN/>
              <w:rPr>
                <w:rFonts w:eastAsia="Times New Roman"/>
                <w:sz w:val="16"/>
                <w:szCs w:val="16"/>
                <w:highlight w:val="yellow"/>
                <w:lang w:eastAsia="ru-RU"/>
              </w:rPr>
            </w:pPr>
            <w:r w:rsidRPr="00A41B88">
              <w:rPr>
                <w:rFonts w:eastAsia="Times New Roman"/>
                <w:iCs/>
                <w:sz w:val="24"/>
                <w:szCs w:val="24"/>
                <w:lang w:eastAsia="en-US"/>
              </w:rPr>
              <w:t>Дата "</w:t>
            </w:r>
            <w:r w:rsidR="00A2180D" w:rsidRPr="00A2180D">
              <w:rPr>
                <w:rFonts w:eastAsia="Times New Roman"/>
                <w:iCs/>
                <w:sz w:val="24"/>
                <w:szCs w:val="24"/>
                <w:u w:val="single"/>
                <w:lang w:eastAsia="en-US"/>
              </w:rPr>
              <w:t>2</w:t>
            </w:r>
            <w:r w:rsidR="00203141">
              <w:rPr>
                <w:rFonts w:eastAsia="Times New Roman"/>
                <w:iCs/>
                <w:sz w:val="24"/>
                <w:szCs w:val="24"/>
                <w:u w:val="single"/>
                <w:lang w:eastAsia="en-US"/>
              </w:rPr>
              <w:t>9</w:t>
            </w:r>
            <w:r w:rsidRPr="00A41B88">
              <w:rPr>
                <w:rFonts w:eastAsia="Times New Roman"/>
                <w:iCs/>
                <w:sz w:val="24"/>
                <w:szCs w:val="24"/>
                <w:lang w:eastAsia="en-US"/>
              </w:rPr>
              <w:t xml:space="preserve">" </w:t>
            </w:r>
            <w:r w:rsidR="00A2180D" w:rsidRPr="00A2180D">
              <w:rPr>
                <w:rFonts w:eastAsia="Times New Roman"/>
                <w:iCs/>
                <w:sz w:val="24"/>
                <w:szCs w:val="24"/>
                <w:u w:val="single"/>
                <w:lang w:eastAsia="en-US"/>
              </w:rPr>
              <w:t>апреля</w:t>
            </w:r>
            <w:r w:rsidRPr="00A41B88">
              <w:rPr>
                <w:rFonts w:eastAsia="Times New Roman"/>
                <w:iCs/>
                <w:sz w:val="24"/>
                <w:szCs w:val="24"/>
                <w:lang w:eastAsia="en-US"/>
              </w:rPr>
              <w:t xml:space="preserve"> 20</w:t>
            </w:r>
            <w:r w:rsidRPr="00A2180D">
              <w:rPr>
                <w:rFonts w:eastAsia="Times New Roman"/>
                <w:iCs/>
                <w:sz w:val="24"/>
                <w:szCs w:val="24"/>
                <w:u w:val="single"/>
                <w:lang w:eastAsia="en-US"/>
              </w:rPr>
              <w:t>1</w:t>
            </w:r>
            <w:r w:rsidR="00A2180D" w:rsidRPr="00A2180D">
              <w:rPr>
                <w:rFonts w:eastAsia="Times New Roman"/>
                <w:iCs/>
                <w:sz w:val="24"/>
                <w:szCs w:val="24"/>
                <w:u w:val="single"/>
                <w:lang w:eastAsia="en-US"/>
              </w:rPr>
              <w:t>9</w:t>
            </w:r>
            <w:r w:rsidRPr="00A41B88">
              <w:rPr>
                <w:rFonts w:eastAsia="Times New Roman"/>
                <w:iCs/>
                <w:sz w:val="24"/>
                <w:szCs w:val="24"/>
                <w:lang w:eastAsia="en-US"/>
              </w:rPr>
              <w:t xml:space="preserve"> г.</w:t>
            </w:r>
          </w:p>
        </w:tc>
        <w:tc>
          <w:tcPr>
            <w:tcW w:w="1999" w:type="pct"/>
            <w:tcBorders>
              <w:left w:val="nil"/>
            </w:tcBorders>
          </w:tcPr>
          <w:p w:rsidR="001807E2" w:rsidRPr="00CE4132" w:rsidRDefault="001807E2" w:rsidP="00396856">
            <w:pPr>
              <w:autoSpaceDE/>
              <w:autoSpaceDN/>
              <w:jc w:val="right"/>
              <w:rPr>
                <w:rFonts w:eastAsia="Times New Roman"/>
                <w:sz w:val="24"/>
                <w:szCs w:val="24"/>
                <w:highlight w:val="yellow"/>
                <w:lang w:eastAsia="ru-RU"/>
              </w:rPr>
            </w:pPr>
          </w:p>
          <w:p w:rsidR="001807E2" w:rsidRPr="00CE4132" w:rsidRDefault="001807E2" w:rsidP="00396856">
            <w:pPr>
              <w:autoSpaceDE/>
              <w:autoSpaceDN/>
              <w:jc w:val="right"/>
              <w:rPr>
                <w:rFonts w:eastAsia="Times New Roman"/>
                <w:sz w:val="24"/>
                <w:szCs w:val="24"/>
                <w:highlight w:val="yellow"/>
                <w:lang w:eastAsia="ru-RU"/>
              </w:rPr>
            </w:pPr>
          </w:p>
          <w:p w:rsidR="00713681" w:rsidRDefault="00713681" w:rsidP="00396856">
            <w:pPr>
              <w:autoSpaceDE/>
              <w:autoSpaceDN/>
              <w:jc w:val="right"/>
              <w:rPr>
                <w:b/>
                <w:bCs/>
                <w:sz w:val="24"/>
                <w:szCs w:val="24"/>
                <w:highlight w:val="yellow"/>
              </w:rPr>
            </w:pPr>
          </w:p>
          <w:p w:rsidR="001807E2" w:rsidRPr="00B631B8" w:rsidRDefault="001807E2" w:rsidP="00A2180D">
            <w:pPr>
              <w:autoSpaceDE/>
              <w:autoSpaceDN/>
              <w:rPr>
                <w:b/>
                <w:bCs/>
                <w:sz w:val="24"/>
                <w:szCs w:val="24"/>
              </w:rPr>
            </w:pPr>
            <w:r w:rsidRPr="00B631B8">
              <w:rPr>
                <w:b/>
                <w:bCs/>
                <w:sz w:val="24"/>
                <w:szCs w:val="24"/>
              </w:rPr>
              <w:t xml:space="preserve">_____________ </w:t>
            </w:r>
            <w:r w:rsidR="00864015">
              <w:rPr>
                <w:b/>
                <w:bCs/>
                <w:sz w:val="24"/>
                <w:szCs w:val="24"/>
              </w:rPr>
              <w:t>Е</w:t>
            </w:r>
            <w:r w:rsidR="00B631B8" w:rsidRPr="00B631B8">
              <w:rPr>
                <w:b/>
                <w:bCs/>
                <w:sz w:val="24"/>
                <w:szCs w:val="24"/>
              </w:rPr>
              <w:t>.</w:t>
            </w:r>
            <w:r w:rsidR="00864015">
              <w:rPr>
                <w:b/>
                <w:bCs/>
                <w:sz w:val="24"/>
                <w:szCs w:val="24"/>
              </w:rPr>
              <w:t>В</w:t>
            </w:r>
            <w:r w:rsidR="00B631B8" w:rsidRPr="00B631B8">
              <w:rPr>
                <w:b/>
                <w:bCs/>
                <w:sz w:val="24"/>
                <w:szCs w:val="24"/>
              </w:rPr>
              <w:t xml:space="preserve">. </w:t>
            </w:r>
            <w:r w:rsidR="00864015">
              <w:rPr>
                <w:b/>
                <w:bCs/>
                <w:sz w:val="24"/>
                <w:szCs w:val="24"/>
              </w:rPr>
              <w:t>ЛИПАТОВА</w:t>
            </w:r>
          </w:p>
          <w:p w:rsidR="001807E2" w:rsidRPr="00CE4132" w:rsidRDefault="001807E2" w:rsidP="00396856">
            <w:pPr>
              <w:autoSpaceDE/>
              <w:autoSpaceDN/>
              <w:jc w:val="both"/>
              <w:rPr>
                <w:rFonts w:eastAsia="Times New Roman"/>
                <w:sz w:val="16"/>
                <w:szCs w:val="16"/>
                <w:highlight w:val="yellow"/>
                <w:lang w:eastAsia="ru-RU"/>
              </w:rPr>
            </w:pPr>
          </w:p>
          <w:p w:rsidR="001807E2" w:rsidRPr="00CE4132" w:rsidRDefault="001807E2" w:rsidP="00396856">
            <w:pPr>
              <w:autoSpaceDE/>
              <w:autoSpaceDN/>
              <w:jc w:val="both"/>
              <w:rPr>
                <w:rFonts w:eastAsia="Times New Roman"/>
                <w:sz w:val="24"/>
                <w:szCs w:val="24"/>
                <w:highlight w:val="yellow"/>
                <w:lang w:eastAsia="ru-RU"/>
              </w:rPr>
            </w:pPr>
          </w:p>
        </w:tc>
      </w:tr>
    </w:tbl>
    <w:p w:rsidR="001807E2" w:rsidRDefault="001807E2">
      <w:pPr>
        <w:rPr>
          <w:sz w:val="2"/>
          <w:szCs w:val="2"/>
        </w:rPr>
      </w:pPr>
    </w:p>
    <w:p w:rsidR="001807E2" w:rsidRDefault="001807E2">
      <w:pPr>
        <w:rPr>
          <w:sz w:val="2"/>
          <w:szCs w:val="2"/>
        </w:rPr>
      </w:pPr>
    </w:p>
    <w:p w:rsidR="001807E2" w:rsidRDefault="001807E2">
      <w:pPr>
        <w:rPr>
          <w:sz w:val="2"/>
          <w:szCs w:val="2"/>
        </w:rPr>
      </w:pPr>
    </w:p>
    <w:p w:rsidR="001807E2" w:rsidRDefault="001807E2">
      <w:pPr>
        <w:rPr>
          <w:sz w:val="2"/>
          <w:szCs w:val="2"/>
        </w:rPr>
      </w:pPr>
    </w:p>
    <w:p w:rsidR="001807E2" w:rsidRDefault="001807E2">
      <w:pPr>
        <w:rPr>
          <w:sz w:val="2"/>
          <w:szCs w:val="2"/>
        </w:rPr>
      </w:pPr>
    </w:p>
    <w:p w:rsidR="001807E2" w:rsidRPr="001C6B4E" w:rsidRDefault="001807E2" w:rsidP="00510C6C">
      <w:pPr>
        <w:jc w:val="both"/>
        <w:rPr>
          <w:b/>
          <w:bCs/>
          <w:i/>
          <w:iCs/>
          <w:sz w:val="24"/>
          <w:szCs w:val="24"/>
        </w:rPr>
      </w:pPr>
      <w:r>
        <w:rPr>
          <w:sz w:val="2"/>
          <w:szCs w:val="2"/>
        </w:rPr>
        <w:br w:type="page"/>
      </w:r>
      <w:r w:rsidR="00F45908" w:rsidRPr="00F45908">
        <w:rPr>
          <w:b/>
          <w:bCs/>
          <w:i/>
          <w:iCs/>
          <w:sz w:val="24"/>
          <w:szCs w:val="24"/>
        </w:rPr>
        <w:lastRenderedPageBreak/>
        <w:t>Внести изменения</w:t>
      </w:r>
      <w:r w:rsidRPr="001C6B4E">
        <w:rPr>
          <w:b/>
          <w:bCs/>
          <w:i/>
          <w:iCs/>
          <w:sz w:val="24"/>
          <w:szCs w:val="24"/>
        </w:rPr>
        <w:t xml:space="preserve"> в </w:t>
      </w:r>
      <w:r>
        <w:rPr>
          <w:b/>
          <w:bCs/>
          <w:i/>
          <w:iCs/>
          <w:sz w:val="24"/>
          <w:szCs w:val="24"/>
        </w:rPr>
        <w:t>Проспект</w:t>
      </w:r>
      <w:r w:rsidRPr="001C6B4E">
        <w:rPr>
          <w:b/>
          <w:bCs/>
          <w:i/>
          <w:iCs/>
          <w:sz w:val="24"/>
          <w:szCs w:val="24"/>
        </w:rPr>
        <w:t xml:space="preserve"> ценных бумаг</w:t>
      </w:r>
      <w:r w:rsidR="00F45908">
        <w:rPr>
          <w:b/>
          <w:bCs/>
          <w:i/>
          <w:iCs/>
          <w:sz w:val="24"/>
          <w:szCs w:val="24"/>
        </w:rPr>
        <w:t>:</w:t>
      </w:r>
    </w:p>
    <w:p w:rsidR="001807E2" w:rsidRPr="002D01AC" w:rsidRDefault="001807E2" w:rsidP="00510C6C">
      <w:pPr>
        <w:jc w:val="both"/>
        <w:rPr>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244"/>
      </w:tblGrid>
      <w:tr w:rsidR="001807E2" w:rsidRPr="001C6B4E" w:rsidTr="00990643">
        <w:trPr>
          <w:cantSplit/>
        </w:trPr>
        <w:tc>
          <w:tcPr>
            <w:tcW w:w="10314" w:type="dxa"/>
            <w:gridSpan w:val="2"/>
          </w:tcPr>
          <w:p w:rsidR="001807E2" w:rsidRPr="001C6B4E" w:rsidRDefault="008147F7" w:rsidP="00A42E2A">
            <w:pPr>
              <w:adjustRightInd w:val="0"/>
              <w:jc w:val="both"/>
              <w:outlineLvl w:val="0"/>
              <w:rPr>
                <w:sz w:val="24"/>
                <w:szCs w:val="24"/>
              </w:rPr>
            </w:pPr>
            <w:r w:rsidRPr="00B53AE8">
              <w:rPr>
                <w:bCs/>
                <w:sz w:val="24"/>
                <w:szCs w:val="24"/>
              </w:rPr>
              <w:t xml:space="preserve">Внести изменения в </w:t>
            </w:r>
            <w:r>
              <w:rPr>
                <w:bCs/>
                <w:sz w:val="24"/>
                <w:szCs w:val="24"/>
              </w:rPr>
              <w:t xml:space="preserve">абзац 6 </w:t>
            </w:r>
            <w:r w:rsidRPr="00B53AE8">
              <w:rPr>
                <w:bCs/>
                <w:sz w:val="24"/>
                <w:szCs w:val="24"/>
              </w:rPr>
              <w:t>п.</w:t>
            </w:r>
            <w:r>
              <w:rPr>
                <w:bCs/>
                <w:sz w:val="24"/>
                <w:szCs w:val="24"/>
              </w:rPr>
              <w:t xml:space="preserve"> 8.8.6</w:t>
            </w:r>
            <w:r w:rsidRPr="00B53AE8">
              <w:rPr>
                <w:bCs/>
                <w:sz w:val="24"/>
                <w:szCs w:val="24"/>
              </w:rPr>
              <w:t xml:space="preserve"> «</w:t>
            </w:r>
            <w:r w:rsidRPr="008147F7">
              <w:rPr>
                <w:bCs/>
                <w:sz w:val="24"/>
                <w:szCs w:val="24"/>
              </w:rPr>
              <w:t>Условия и порядок оплаты ценных бумаг</w:t>
            </w:r>
            <w:r w:rsidRPr="00B53AE8">
              <w:rPr>
                <w:bCs/>
                <w:sz w:val="24"/>
                <w:szCs w:val="24"/>
              </w:rPr>
              <w:t>»</w:t>
            </w:r>
            <w:r w:rsidR="009E06BA">
              <w:rPr>
                <w:bCs/>
                <w:sz w:val="24"/>
                <w:szCs w:val="24"/>
              </w:rPr>
              <w:t xml:space="preserve"> раздела </w:t>
            </w:r>
            <w:r w:rsidR="009E06BA" w:rsidRPr="009E06BA">
              <w:rPr>
                <w:bCs/>
                <w:sz w:val="24"/>
                <w:szCs w:val="24"/>
              </w:rPr>
              <w:t xml:space="preserve">VIII </w:t>
            </w:r>
            <w:r w:rsidR="009E06BA">
              <w:rPr>
                <w:bCs/>
                <w:sz w:val="24"/>
                <w:szCs w:val="24"/>
              </w:rPr>
              <w:t>«</w:t>
            </w:r>
            <w:r w:rsidR="009E06BA" w:rsidRPr="009E06BA">
              <w:rPr>
                <w:bCs/>
                <w:sz w:val="24"/>
                <w:szCs w:val="24"/>
              </w:rPr>
              <w:t>Сведения о размещаемых эмиссионных ценных бумагах, а также об объеме, о сроке, об условиях и о порядке их размещения</w:t>
            </w:r>
            <w:r w:rsidR="009E06BA">
              <w:rPr>
                <w:bCs/>
                <w:sz w:val="24"/>
                <w:szCs w:val="24"/>
              </w:rPr>
              <w:t>»</w:t>
            </w:r>
            <w:r w:rsidRPr="00B53AE8">
              <w:rPr>
                <w:bCs/>
                <w:sz w:val="24"/>
                <w:szCs w:val="24"/>
              </w:rPr>
              <w:t xml:space="preserve"> в части </w:t>
            </w:r>
            <w:r>
              <w:rPr>
                <w:bCs/>
                <w:sz w:val="24"/>
                <w:szCs w:val="24"/>
              </w:rPr>
              <w:t>формы оплаты</w:t>
            </w:r>
            <w:r w:rsidRPr="00B53AE8">
              <w:rPr>
                <w:bCs/>
                <w:sz w:val="24"/>
                <w:szCs w:val="24"/>
              </w:rPr>
              <w:t xml:space="preserve"> </w:t>
            </w:r>
            <w:r>
              <w:rPr>
                <w:bCs/>
                <w:sz w:val="24"/>
                <w:szCs w:val="24"/>
              </w:rPr>
              <w:t>ценных бумаг,</w:t>
            </w:r>
            <w:r w:rsidRPr="00B53AE8">
              <w:rPr>
                <w:bCs/>
                <w:sz w:val="24"/>
                <w:szCs w:val="24"/>
              </w:rPr>
              <w:t xml:space="preserve"> а именно:</w:t>
            </w:r>
          </w:p>
        </w:tc>
      </w:tr>
      <w:tr w:rsidR="001807E2" w:rsidRPr="001C6B4E" w:rsidTr="00990643">
        <w:trPr>
          <w:cantSplit/>
          <w:trHeight w:val="184"/>
        </w:trPr>
        <w:tc>
          <w:tcPr>
            <w:tcW w:w="5070" w:type="dxa"/>
          </w:tcPr>
          <w:p w:rsidR="001807E2" w:rsidRPr="001C6B4E" w:rsidRDefault="001807E2" w:rsidP="00C06E64">
            <w:pPr>
              <w:jc w:val="center"/>
              <w:rPr>
                <w:b/>
                <w:sz w:val="24"/>
                <w:szCs w:val="24"/>
              </w:rPr>
            </w:pPr>
            <w:r w:rsidRPr="001C6B4E">
              <w:rPr>
                <w:b/>
                <w:sz w:val="24"/>
                <w:szCs w:val="24"/>
              </w:rPr>
              <w:t>Текст изменяемой редакции:</w:t>
            </w:r>
          </w:p>
        </w:tc>
        <w:tc>
          <w:tcPr>
            <w:tcW w:w="5244" w:type="dxa"/>
          </w:tcPr>
          <w:p w:rsidR="001807E2" w:rsidRPr="001C6B4E" w:rsidRDefault="001807E2" w:rsidP="00C06E64">
            <w:pPr>
              <w:jc w:val="center"/>
              <w:rPr>
                <w:b/>
                <w:sz w:val="24"/>
                <w:szCs w:val="24"/>
              </w:rPr>
            </w:pPr>
            <w:r w:rsidRPr="001C6B4E">
              <w:rPr>
                <w:b/>
                <w:sz w:val="24"/>
                <w:szCs w:val="24"/>
              </w:rPr>
              <w:t>Текст новой редакции с изменениями:</w:t>
            </w:r>
          </w:p>
        </w:tc>
      </w:tr>
      <w:tr w:rsidR="001807E2" w:rsidRPr="00497F8E" w:rsidTr="00990643">
        <w:tc>
          <w:tcPr>
            <w:tcW w:w="5070" w:type="dxa"/>
          </w:tcPr>
          <w:p w:rsidR="001807E2" w:rsidRPr="00497F8E" w:rsidRDefault="008147F7" w:rsidP="00C06E64">
            <w:pPr>
              <w:adjustRightInd w:val="0"/>
              <w:jc w:val="both"/>
              <w:rPr>
                <w:bCs/>
                <w:i/>
                <w:sz w:val="24"/>
                <w:szCs w:val="24"/>
                <w:lang w:eastAsia="en-US"/>
              </w:rPr>
            </w:pPr>
            <w:r w:rsidRPr="008147F7">
              <w:rPr>
                <w:bCs/>
                <w:i/>
                <w:sz w:val="24"/>
                <w:szCs w:val="24"/>
                <w:lang w:eastAsia="en-US"/>
              </w:rPr>
              <w:t>При приобретении Биржевые облигации оплачиваются денежными средствами в валюте, в которой установлена номинальная стоимость Биржевых облигаций, в безналичном порядке.</w:t>
            </w:r>
          </w:p>
        </w:tc>
        <w:tc>
          <w:tcPr>
            <w:tcW w:w="5244" w:type="dxa"/>
          </w:tcPr>
          <w:p w:rsidR="001807E2" w:rsidRPr="00497F8E" w:rsidRDefault="008147F7" w:rsidP="00C06E64">
            <w:pPr>
              <w:pStyle w:val="BodyTextbt"/>
              <w:rPr>
                <w:b w:val="0"/>
                <w:iCs w:val="0"/>
                <w:sz w:val="24"/>
                <w:szCs w:val="24"/>
                <w:lang w:eastAsia="en-US"/>
              </w:rPr>
            </w:pPr>
            <w:r w:rsidRPr="00497F8E">
              <w:rPr>
                <w:b w:val="0"/>
                <w:iCs w:val="0"/>
                <w:sz w:val="24"/>
                <w:szCs w:val="24"/>
                <w:lang w:eastAsia="en-US"/>
              </w:rPr>
              <w:t xml:space="preserve">При приобретении Биржевые облигации оплачиваются денежными средствами </w:t>
            </w:r>
            <w:r w:rsidRPr="00F45908">
              <w:rPr>
                <w:b w:val="0"/>
                <w:iCs w:val="0"/>
                <w:sz w:val="24"/>
                <w:szCs w:val="24"/>
                <w:u w:val="single"/>
                <w:lang w:eastAsia="en-US"/>
              </w:rPr>
              <w:t>в валюте, установленной Условиями выпуска, в безналичном порядке.</w:t>
            </w:r>
          </w:p>
        </w:tc>
      </w:tr>
      <w:tr w:rsidR="00CE4132" w:rsidRPr="001C6B4E" w:rsidTr="00990643">
        <w:tc>
          <w:tcPr>
            <w:tcW w:w="10314" w:type="dxa"/>
            <w:gridSpan w:val="2"/>
          </w:tcPr>
          <w:p w:rsidR="00CE4132" w:rsidRPr="00B53AE8" w:rsidRDefault="00497F8E" w:rsidP="00071B1C">
            <w:pPr>
              <w:widowControl w:val="0"/>
              <w:adjustRightInd w:val="0"/>
              <w:jc w:val="both"/>
              <w:rPr>
                <w:bCs/>
                <w:sz w:val="24"/>
                <w:szCs w:val="24"/>
              </w:rPr>
            </w:pPr>
            <w:r>
              <w:rPr>
                <w:bCs/>
                <w:sz w:val="24"/>
                <w:szCs w:val="24"/>
              </w:rPr>
              <w:t>П. 8.9.3 «</w:t>
            </w:r>
            <w:r w:rsidRPr="00497F8E">
              <w:rPr>
                <w:bCs/>
                <w:sz w:val="24"/>
                <w:szCs w:val="24"/>
              </w:rPr>
              <w:t>Порядок определения дохода, выплачиваемого по каждой облигации</w:t>
            </w:r>
            <w:r>
              <w:rPr>
                <w:bCs/>
                <w:sz w:val="24"/>
                <w:szCs w:val="24"/>
              </w:rPr>
              <w:t xml:space="preserve">» </w:t>
            </w:r>
            <w:r w:rsidR="009E06BA">
              <w:rPr>
                <w:bCs/>
                <w:sz w:val="24"/>
                <w:szCs w:val="24"/>
              </w:rPr>
              <w:t xml:space="preserve">раздела </w:t>
            </w:r>
            <w:r w:rsidR="009E06BA" w:rsidRPr="009E06BA">
              <w:rPr>
                <w:bCs/>
                <w:sz w:val="24"/>
                <w:szCs w:val="24"/>
              </w:rPr>
              <w:t xml:space="preserve">VIII </w:t>
            </w:r>
            <w:r w:rsidR="009E06BA">
              <w:rPr>
                <w:bCs/>
                <w:sz w:val="24"/>
                <w:szCs w:val="24"/>
              </w:rPr>
              <w:t>«</w:t>
            </w:r>
            <w:r w:rsidR="009E06BA" w:rsidRPr="009E06BA">
              <w:rPr>
                <w:bCs/>
                <w:sz w:val="24"/>
                <w:szCs w:val="24"/>
              </w:rPr>
              <w:t>Сведения о размещаемых эмиссионных ценных бумагах, а также об объеме, о сроке, об условиях и о порядке их размещения</w:t>
            </w:r>
            <w:r w:rsidR="009E06BA">
              <w:rPr>
                <w:bCs/>
                <w:sz w:val="24"/>
                <w:szCs w:val="24"/>
              </w:rPr>
              <w:t>»</w:t>
            </w:r>
            <w:r w:rsidR="009E06BA" w:rsidRPr="00B53AE8">
              <w:rPr>
                <w:bCs/>
                <w:sz w:val="24"/>
                <w:szCs w:val="24"/>
              </w:rPr>
              <w:t xml:space="preserve"> </w:t>
            </w:r>
            <w:r>
              <w:rPr>
                <w:bCs/>
                <w:sz w:val="24"/>
                <w:szCs w:val="24"/>
              </w:rPr>
              <w:t xml:space="preserve">после абзаца 13 </w:t>
            </w:r>
            <w:r w:rsidR="009E06BA">
              <w:rPr>
                <w:bCs/>
                <w:sz w:val="24"/>
                <w:szCs w:val="24"/>
              </w:rPr>
              <w:t>«</w:t>
            </w:r>
            <w:r w:rsidR="009E06BA" w:rsidRPr="00071B1C">
              <w:rPr>
                <w:bCs/>
                <w:sz w:val="24"/>
                <w:szCs w:val="24"/>
              </w:rPr>
              <w:t>Величина купонного дохода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009E06BA">
              <w:rPr>
                <w:bCs/>
                <w:sz w:val="24"/>
                <w:szCs w:val="24"/>
              </w:rPr>
              <w:t xml:space="preserve">» </w:t>
            </w:r>
            <w:r>
              <w:rPr>
                <w:bCs/>
                <w:sz w:val="24"/>
                <w:szCs w:val="24"/>
              </w:rPr>
              <w:t>дополнить абзацем следующего содержания</w:t>
            </w:r>
            <w:r w:rsidR="00CB72BB" w:rsidRPr="00B53AE8">
              <w:rPr>
                <w:bCs/>
                <w:sz w:val="24"/>
                <w:szCs w:val="24"/>
              </w:rPr>
              <w:t>:</w:t>
            </w:r>
          </w:p>
        </w:tc>
      </w:tr>
      <w:tr w:rsidR="00497F8E" w:rsidRPr="001C6B4E" w:rsidTr="00990643">
        <w:tc>
          <w:tcPr>
            <w:tcW w:w="10314" w:type="dxa"/>
            <w:gridSpan w:val="2"/>
          </w:tcPr>
          <w:p w:rsidR="00497F8E" w:rsidRPr="00F45908" w:rsidRDefault="00497F8E" w:rsidP="00E60F05">
            <w:pPr>
              <w:jc w:val="both"/>
              <w:rPr>
                <w:bCs/>
                <w:sz w:val="24"/>
                <w:szCs w:val="24"/>
                <w:u w:val="single"/>
              </w:rPr>
            </w:pPr>
            <w:r w:rsidRPr="00F45908">
              <w:rPr>
                <w:bCs/>
                <w:i/>
                <w:sz w:val="24"/>
                <w:szCs w:val="24"/>
                <w:u w:val="single"/>
                <w:lang w:eastAsia="en-US"/>
              </w:rPr>
              <w:t xml:space="preserve">При выплате КД в валюте, отличной от валюты номинальной стоимости Биржевых облигаций, </w:t>
            </w:r>
            <w:r w:rsidR="000072C7">
              <w:rPr>
                <w:bCs/>
                <w:i/>
                <w:sz w:val="24"/>
                <w:szCs w:val="24"/>
                <w:u w:val="single"/>
                <w:lang w:eastAsia="en-US"/>
              </w:rPr>
              <w:t xml:space="preserve">сумма </w:t>
            </w:r>
            <w:r w:rsidRPr="00F45908">
              <w:rPr>
                <w:bCs/>
                <w:i/>
                <w:sz w:val="24"/>
                <w:szCs w:val="24"/>
                <w:u w:val="single"/>
                <w:lang w:eastAsia="en-US"/>
              </w:rPr>
              <w:t>КД по каждой Биржевой облигации в такой валюте рассчитывается в соответствии с вышеуказанными правилами математического округления.</w:t>
            </w:r>
          </w:p>
        </w:tc>
      </w:tr>
      <w:tr w:rsidR="00CE4132" w:rsidRPr="001C6B4E" w:rsidTr="00990643">
        <w:tc>
          <w:tcPr>
            <w:tcW w:w="10314" w:type="dxa"/>
            <w:gridSpan w:val="2"/>
          </w:tcPr>
          <w:p w:rsidR="00CE4132" w:rsidRPr="001C6B4E" w:rsidRDefault="00497F8E" w:rsidP="00497F8E">
            <w:pPr>
              <w:jc w:val="both"/>
              <w:rPr>
                <w:b/>
                <w:bCs/>
                <w:sz w:val="24"/>
                <w:szCs w:val="24"/>
                <w:lang w:eastAsia="en-US"/>
              </w:rPr>
            </w:pPr>
            <w:r>
              <w:rPr>
                <w:bCs/>
                <w:sz w:val="24"/>
                <w:szCs w:val="24"/>
              </w:rPr>
              <w:t>Пп. 3 п. 8.19 «</w:t>
            </w:r>
            <w:r w:rsidRPr="00497F8E">
              <w:rPr>
                <w:bCs/>
                <w:sz w:val="24"/>
                <w:szCs w:val="24"/>
              </w:rPr>
              <w:t>Иные сведения о размещаемых ценных бумагах</w:t>
            </w:r>
            <w:r>
              <w:rPr>
                <w:bCs/>
                <w:sz w:val="24"/>
                <w:szCs w:val="24"/>
              </w:rPr>
              <w:t xml:space="preserve">» </w:t>
            </w:r>
            <w:r w:rsidR="009E06BA">
              <w:rPr>
                <w:bCs/>
                <w:sz w:val="24"/>
                <w:szCs w:val="24"/>
              </w:rPr>
              <w:t xml:space="preserve">раздела </w:t>
            </w:r>
            <w:r w:rsidR="009E06BA" w:rsidRPr="009E06BA">
              <w:rPr>
                <w:bCs/>
                <w:sz w:val="24"/>
                <w:szCs w:val="24"/>
              </w:rPr>
              <w:t xml:space="preserve">VIII </w:t>
            </w:r>
            <w:r w:rsidR="009E06BA">
              <w:rPr>
                <w:bCs/>
                <w:sz w:val="24"/>
                <w:szCs w:val="24"/>
              </w:rPr>
              <w:t>«</w:t>
            </w:r>
            <w:r w:rsidR="009E06BA" w:rsidRPr="009E06BA">
              <w:rPr>
                <w:bCs/>
                <w:sz w:val="24"/>
                <w:szCs w:val="24"/>
              </w:rPr>
              <w:t>Сведения о размещаемых эмиссионных ценных бумагах, а также об объеме, о сроке, об условиях и о порядке их размещения</w:t>
            </w:r>
            <w:r w:rsidR="009E06BA">
              <w:rPr>
                <w:bCs/>
                <w:sz w:val="24"/>
                <w:szCs w:val="24"/>
              </w:rPr>
              <w:t xml:space="preserve">» </w:t>
            </w:r>
            <w:r>
              <w:rPr>
                <w:bCs/>
                <w:sz w:val="24"/>
                <w:szCs w:val="24"/>
              </w:rPr>
              <w:t xml:space="preserve">перед пп. 4 </w:t>
            </w:r>
            <w:r w:rsidR="009E06BA">
              <w:rPr>
                <w:bCs/>
                <w:sz w:val="24"/>
                <w:szCs w:val="24"/>
              </w:rPr>
              <w:t>п. 8.19 «</w:t>
            </w:r>
            <w:r w:rsidR="009E06BA" w:rsidRPr="00497F8E">
              <w:rPr>
                <w:bCs/>
                <w:sz w:val="24"/>
                <w:szCs w:val="24"/>
              </w:rPr>
              <w:t>Иные сведения о размещаемых ценных бумагах</w:t>
            </w:r>
            <w:r w:rsidR="009E06BA">
              <w:rPr>
                <w:bCs/>
                <w:sz w:val="24"/>
                <w:szCs w:val="24"/>
              </w:rPr>
              <w:t xml:space="preserve">» раздела </w:t>
            </w:r>
            <w:r w:rsidR="009E06BA" w:rsidRPr="009E06BA">
              <w:rPr>
                <w:bCs/>
                <w:sz w:val="24"/>
                <w:szCs w:val="24"/>
              </w:rPr>
              <w:t xml:space="preserve">VIII </w:t>
            </w:r>
            <w:r w:rsidR="009E06BA">
              <w:rPr>
                <w:bCs/>
                <w:sz w:val="24"/>
                <w:szCs w:val="24"/>
              </w:rPr>
              <w:t>«</w:t>
            </w:r>
            <w:r w:rsidR="009E06BA" w:rsidRPr="009E06BA">
              <w:rPr>
                <w:bCs/>
                <w:sz w:val="24"/>
                <w:szCs w:val="24"/>
              </w:rPr>
              <w:t>Сведения о размещаемых эмиссионных ценных бумагах, а также об объеме, о сроке, об условиях и о порядке их размещения</w:t>
            </w:r>
            <w:r w:rsidR="009E06BA">
              <w:rPr>
                <w:bCs/>
                <w:sz w:val="24"/>
                <w:szCs w:val="24"/>
              </w:rPr>
              <w:t xml:space="preserve">» </w:t>
            </w:r>
            <w:r>
              <w:rPr>
                <w:bCs/>
                <w:sz w:val="24"/>
                <w:szCs w:val="24"/>
              </w:rPr>
              <w:t>дополнить абзацем следующего содержания</w:t>
            </w:r>
            <w:r w:rsidRPr="00B53AE8">
              <w:rPr>
                <w:bCs/>
                <w:sz w:val="24"/>
                <w:szCs w:val="24"/>
              </w:rPr>
              <w:t>:</w:t>
            </w:r>
          </w:p>
        </w:tc>
      </w:tr>
      <w:tr w:rsidR="00497F8E" w:rsidRPr="001C6B4E" w:rsidTr="00990643">
        <w:tc>
          <w:tcPr>
            <w:tcW w:w="10314" w:type="dxa"/>
            <w:gridSpan w:val="2"/>
          </w:tcPr>
          <w:p w:rsidR="00497F8E" w:rsidRPr="00F45908" w:rsidRDefault="00497F8E" w:rsidP="00497F8E">
            <w:pPr>
              <w:jc w:val="both"/>
              <w:rPr>
                <w:bCs/>
                <w:sz w:val="24"/>
                <w:szCs w:val="24"/>
                <w:u w:val="single"/>
              </w:rPr>
            </w:pPr>
            <w:r w:rsidRPr="00F45908">
              <w:rPr>
                <w:bCs/>
                <w:i/>
                <w:sz w:val="24"/>
                <w:szCs w:val="24"/>
                <w:u w:val="single"/>
                <w:lang w:eastAsia="en-US"/>
              </w:rPr>
              <w:t xml:space="preserve">При выплате НКД в валюте, отличной от валюты номинальной стоимости Биржевых облигаций, </w:t>
            </w:r>
            <w:r w:rsidR="000072C7">
              <w:rPr>
                <w:bCs/>
                <w:i/>
                <w:sz w:val="24"/>
                <w:szCs w:val="24"/>
                <w:u w:val="single"/>
                <w:lang w:eastAsia="en-US"/>
              </w:rPr>
              <w:t xml:space="preserve">сумма </w:t>
            </w:r>
            <w:r w:rsidRPr="00F45908">
              <w:rPr>
                <w:bCs/>
                <w:i/>
                <w:sz w:val="24"/>
                <w:szCs w:val="24"/>
                <w:u w:val="single"/>
                <w:lang w:eastAsia="en-US"/>
              </w:rPr>
              <w:t>НКД по каждой Биржевой облигации в такой валюте рассчитывается в соответствии с вышеуказанными правилами математического округления.</w:t>
            </w:r>
          </w:p>
        </w:tc>
      </w:tr>
    </w:tbl>
    <w:p w:rsidR="001807E2" w:rsidRDefault="001807E2" w:rsidP="00A00EC5">
      <w:pPr>
        <w:jc w:val="both"/>
        <w:rPr>
          <w:rStyle w:val="SUBST"/>
          <w:b w:val="0"/>
          <w:i w:val="0"/>
          <w:szCs w:val="22"/>
        </w:rPr>
      </w:pPr>
    </w:p>
    <w:sectPr w:rsidR="001807E2" w:rsidSect="00001EFA">
      <w:footerReference w:type="even" r:id="rId7"/>
      <w:footerReference w:type="default" r:id="rId8"/>
      <w:pgSz w:w="11906" w:h="16838"/>
      <w:pgMar w:top="567" w:right="851" w:bottom="567" w:left="1134" w:header="397" w:footer="397" w:gutter="0"/>
      <w:cols w:space="709"/>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2A4" w:rsidRDefault="00D912A4">
      <w:r>
        <w:separator/>
      </w:r>
    </w:p>
  </w:endnote>
  <w:endnote w:type="continuationSeparator" w:id="0">
    <w:p w:rsidR="00D912A4" w:rsidRDefault="00D912A4">
      <w:r>
        <w:continuationSeparator/>
      </w:r>
    </w:p>
  </w:endnote>
  <w:endnote w:type="continuationNotice" w:id="1">
    <w:p w:rsidR="00D912A4" w:rsidRDefault="00D91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7E2" w:rsidRDefault="001807E2" w:rsidP="00001EFA">
    <w:pPr>
      <w:pStyle w:val="a5"/>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1807E2" w:rsidRDefault="001807E2" w:rsidP="00040BC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7E2" w:rsidRDefault="001807E2" w:rsidP="00001EFA">
    <w:pPr>
      <w:pStyle w:val="a5"/>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2C39A3">
      <w:rPr>
        <w:rStyle w:val="af5"/>
        <w:noProof/>
      </w:rPr>
      <w:t>3</w:t>
    </w:r>
    <w:r>
      <w:rPr>
        <w:rStyle w:val="af5"/>
      </w:rPr>
      <w:fldChar w:fldCharType="end"/>
    </w:r>
  </w:p>
  <w:p w:rsidR="001807E2" w:rsidRDefault="001807E2" w:rsidP="00FD40B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2A4" w:rsidRDefault="00D912A4">
      <w:r>
        <w:separator/>
      </w:r>
    </w:p>
  </w:footnote>
  <w:footnote w:type="continuationSeparator" w:id="0">
    <w:p w:rsidR="00D912A4" w:rsidRDefault="00D912A4">
      <w:r>
        <w:continuationSeparator/>
      </w:r>
    </w:p>
  </w:footnote>
  <w:footnote w:type="continuationNotice" w:id="1">
    <w:p w:rsidR="00D912A4" w:rsidRDefault="00D912A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C15E7"/>
    <w:multiLevelType w:val="hybridMultilevel"/>
    <w:tmpl w:val="0C6AA48A"/>
    <w:lvl w:ilvl="0" w:tplc="8A02169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4A"/>
    <w:rsid w:val="00001EFA"/>
    <w:rsid w:val="000072C7"/>
    <w:rsid w:val="00007867"/>
    <w:rsid w:val="0003285D"/>
    <w:rsid w:val="00040BC1"/>
    <w:rsid w:val="00062552"/>
    <w:rsid w:val="000651A1"/>
    <w:rsid w:val="00066B3D"/>
    <w:rsid w:val="00070C27"/>
    <w:rsid w:val="00071B1C"/>
    <w:rsid w:val="00075194"/>
    <w:rsid w:val="0009097E"/>
    <w:rsid w:val="000A40EA"/>
    <w:rsid w:val="000B1E19"/>
    <w:rsid w:val="000B6E6A"/>
    <w:rsid w:val="000C537C"/>
    <w:rsid w:val="000C62AF"/>
    <w:rsid w:val="000C7B2A"/>
    <w:rsid w:val="000D3A39"/>
    <w:rsid w:val="000D545F"/>
    <w:rsid w:val="000D5EA7"/>
    <w:rsid w:val="000E0257"/>
    <w:rsid w:val="000E0A5A"/>
    <w:rsid w:val="000F55BE"/>
    <w:rsid w:val="001010F1"/>
    <w:rsid w:val="00115A00"/>
    <w:rsid w:val="00146D19"/>
    <w:rsid w:val="00150C50"/>
    <w:rsid w:val="0015445C"/>
    <w:rsid w:val="0017718B"/>
    <w:rsid w:val="001807E2"/>
    <w:rsid w:val="0018132D"/>
    <w:rsid w:val="00181B96"/>
    <w:rsid w:val="00181BE0"/>
    <w:rsid w:val="00192439"/>
    <w:rsid w:val="001C6B4E"/>
    <w:rsid w:val="001D1109"/>
    <w:rsid w:val="001E05D1"/>
    <w:rsid w:val="001F0721"/>
    <w:rsid w:val="001F07E7"/>
    <w:rsid w:val="001F4C8F"/>
    <w:rsid w:val="001F6863"/>
    <w:rsid w:val="00200006"/>
    <w:rsid w:val="00203141"/>
    <w:rsid w:val="002070FE"/>
    <w:rsid w:val="002170DF"/>
    <w:rsid w:val="002337BB"/>
    <w:rsid w:val="002352B0"/>
    <w:rsid w:val="00237864"/>
    <w:rsid w:val="0024695C"/>
    <w:rsid w:val="0025443F"/>
    <w:rsid w:val="0026101F"/>
    <w:rsid w:val="0026258D"/>
    <w:rsid w:val="00267F97"/>
    <w:rsid w:val="0027422D"/>
    <w:rsid w:val="00276BF0"/>
    <w:rsid w:val="002802FE"/>
    <w:rsid w:val="0029377C"/>
    <w:rsid w:val="00296730"/>
    <w:rsid w:val="0029681B"/>
    <w:rsid w:val="002A601C"/>
    <w:rsid w:val="002A6829"/>
    <w:rsid w:val="002B2036"/>
    <w:rsid w:val="002B51BE"/>
    <w:rsid w:val="002B5411"/>
    <w:rsid w:val="002C159B"/>
    <w:rsid w:val="002C39A3"/>
    <w:rsid w:val="002C4FB6"/>
    <w:rsid w:val="002C734B"/>
    <w:rsid w:val="002D01AC"/>
    <w:rsid w:val="002E15C6"/>
    <w:rsid w:val="002E7AD9"/>
    <w:rsid w:val="002F59D7"/>
    <w:rsid w:val="002F7DAB"/>
    <w:rsid w:val="0030236C"/>
    <w:rsid w:val="00327A2F"/>
    <w:rsid w:val="00361EF3"/>
    <w:rsid w:val="00372275"/>
    <w:rsid w:val="003737B0"/>
    <w:rsid w:val="0039650B"/>
    <w:rsid w:val="00396856"/>
    <w:rsid w:val="003A28AF"/>
    <w:rsid w:val="003B41F6"/>
    <w:rsid w:val="003C2008"/>
    <w:rsid w:val="003E1AD3"/>
    <w:rsid w:val="003E407C"/>
    <w:rsid w:val="003F097E"/>
    <w:rsid w:val="003F15BF"/>
    <w:rsid w:val="003F447E"/>
    <w:rsid w:val="00417D8E"/>
    <w:rsid w:val="00422F64"/>
    <w:rsid w:val="0042727A"/>
    <w:rsid w:val="004578A9"/>
    <w:rsid w:val="004603B1"/>
    <w:rsid w:val="00466768"/>
    <w:rsid w:val="0046735A"/>
    <w:rsid w:val="00472938"/>
    <w:rsid w:val="00477CB4"/>
    <w:rsid w:val="00482EE8"/>
    <w:rsid w:val="00496FC5"/>
    <w:rsid w:val="004973AB"/>
    <w:rsid w:val="00497F8E"/>
    <w:rsid w:val="004A0E13"/>
    <w:rsid w:val="004C22A7"/>
    <w:rsid w:val="004E2A1E"/>
    <w:rsid w:val="004E59E7"/>
    <w:rsid w:val="004E6391"/>
    <w:rsid w:val="004E69F4"/>
    <w:rsid w:val="00507F08"/>
    <w:rsid w:val="00510C6C"/>
    <w:rsid w:val="00530A0D"/>
    <w:rsid w:val="00535AFB"/>
    <w:rsid w:val="0054685E"/>
    <w:rsid w:val="00555B21"/>
    <w:rsid w:val="00572B94"/>
    <w:rsid w:val="00574CC3"/>
    <w:rsid w:val="005853AB"/>
    <w:rsid w:val="005A28C2"/>
    <w:rsid w:val="005A5559"/>
    <w:rsid w:val="005B5232"/>
    <w:rsid w:val="005C3D87"/>
    <w:rsid w:val="005D2DBB"/>
    <w:rsid w:val="005D7EAF"/>
    <w:rsid w:val="005E262E"/>
    <w:rsid w:val="005E36B2"/>
    <w:rsid w:val="005E7784"/>
    <w:rsid w:val="005F1C4D"/>
    <w:rsid w:val="006014EC"/>
    <w:rsid w:val="006057B3"/>
    <w:rsid w:val="00620902"/>
    <w:rsid w:val="00625FD2"/>
    <w:rsid w:val="006517D2"/>
    <w:rsid w:val="00661EA7"/>
    <w:rsid w:val="006719D8"/>
    <w:rsid w:val="00681745"/>
    <w:rsid w:val="0068648B"/>
    <w:rsid w:val="006866DB"/>
    <w:rsid w:val="0068773B"/>
    <w:rsid w:val="006A08ED"/>
    <w:rsid w:val="006C3E04"/>
    <w:rsid w:val="006C60DC"/>
    <w:rsid w:val="006D7B19"/>
    <w:rsid w:val="006F0361"/>
    <w:rsid w:val="006F3D6F"/>
    <w:rsid w:val="00700BED"/>
    <w:rsid w:val="00700F74"/>
    <w:rsid w:val="007011C9"/>
    <w:rsid w:val="00703CD0"/>
    <w:rsid w:val="00704534"/>
    <w:rsid w:val="00704FDB"/>
    <w:rsid w:val="00713681"/>
    <w:rsid w:val="0072089F"/>
    <w:rsid w:val="00722373"/>
    <w:rsid w:val="00733F2D"/>
    <w:rsid w:val="00737690"/>
    <w:rsid w:val="00767D3F"/>
    <w:rsid w:val="00777D74"/>
    <w:rsid w:val="00791CDB"/>
    <w:rsid w:val="00794CF5"/>
    <w:rsid w:val="007B2C92"/>
    <w:rsid w:val="007B4E31"/>
    <w:rsid w:val="007B7C38"/>
    <w:rsid w:val="007D5E08"/>
    <w:rsid w:val="007D6E4B"/>
    <w:rsid w:val="007F4020"/>
    <w:rsid w:val="00802194"/>
    <w:rsid w:val="00803101"/>
    <w:rsid w:val="0080412C"/>
    <w:rsid w:val="00810A2C"/>
    <w:rsid w:val="00812A58"/>
    <w:rsid w:val="008147F7"/>
    <w:rsid w:val="0081562A"/>
    <w:rsid w:val="00820611"/>
    <w:rsid w:val="008407E9"/>
    <w:rsid w:val="008451FF"/>
    <w:rsid w:val="008457CA"/>
    <w:rsid w:val="0085139F"/>
    <w:rsid w:val="00864015"/>
    <w:rsid w:val="008650BC"/>
    <w:rsid w:val="008737CE"/>
    <w:rsid w:val="008769D1"/>
    <w:rsid w:val="00885B41"/>
    <w:rsid w:val="008A176E"/>
    <w:rsid w:val="008A57B4"/>
    <w:rsid w:val="008B5993"/>
    <w:rsid w:val="008C26C1"/>
    <w:rsid w:val="008F03C9"/>
    <w:rsid w:val="008F0E06"/>
    <w:rsid w:val="00902CD1"/>
    <w:rsid w:val="00925390"/>
    <w:rsid w:val="009300ED"/>
    <w:rsid w:val="00931D81"/>
    <w:rsid w:val="009324EA"/>
    <w:rsid w:val="00935309"/>
    <w:rsid w:val="00942399"/>
    <w:rsid w:val="0095028B"/>
    <w:rsid w:val="00953461"/>
    <w:rsid w:val="0095790A"/>
    <w:rsid w:val="0097524A"/>
    <w:rsid w:val="009814ED"/>
    <w:rsid w:val="009866DB"/>
    <w:rsid w:val="00990643"/>
    <w:rsid w:val="00992722"/>
    <w:rsid w:val="0099437B"/>
    <w:rsid w:val="00995CF9"/>
    <w:rsid w:val="009A43A3"/>
    <w:rsid w:val="009B73B1"/>
    <w:rsid w:val="009D5B36"/>
    <w:rsid w:val="009E06BA"/>
    <w:rsid w:val="009E38F4"/>
    <w:rsid w:val="009E4DBD"/>
    <w:rsid w:val="009F4F71"/>
    <w:rsid w:val="00A00EC5"/>
    <w:rsid w:val="00A11B2C"/>
    <w:rsid w:val="00A2180D"/>
    <w:rsid w:val="00A31EF5"/>
    <w:rsid w:val="00A35466"/>
    <w:rsid w:val="00A41B88"/>
    <w:rsid w:val="00A42E2A"/>
    <w:rsid w:val="00A644B6"/>
    <w:rsid w:val="00A66AB5"/>
    <w:rsid w:val="00A77FCC"/>
    <w:rsid w:val="00A90036"/>
    <w:rsid w:val="00AA1E3C"/>
    <w:rsid w:val="00AA6417"/>
    <w:rsid w:val="00AB30A4"/>
    <w:rsid w:val="00AB3CFD"/>
    <w:rsid w:val="00AB4022"/>
    <w:rsid w:val="00AB4311"/>
    <w:rsid w:val="00AF40DD"/>
    <w:rsid w:val="00B004B6"/>
    <w:rsid w:val="00B016A9"/>
    <w:rsid w:val="00B102F9"/>
    <w:rsid w:val="00B1064C"/>
    <w:rsid w:val="00B106D5"/>
    <w:rsid w:val="00B25172"/>
    <w:rsid w:val="00B31BC1"/>
    <w:rsid w:val="00B408D0"/>
    <w:rsid w:val="00B537AA"/>
    <w:rsid w:val="00B53AE8"/>
    <w:rsid w:val="00B56757"/>
    <w:rsid w:val="00B57209"/>
    <w:rsid w:val="00B631B8"/>
    <w:rsid w:val="00B636F1"/>
    <w:rsid w:val="00B662D4"/>
    <w:rsid w:val="00B7420A"/>
    <w:rsid w:val="00B75C08"/>
    <w:rsid w:val="00B77301"/>
    <w:rsid w:val="00B83B86"/>
    <w:rsid w:val="00B950A1"/>
    <w:rsid w:val="00B978EA"/>
    <w:rsid w:val="00BA10AA"/>
    <w:rsid w:val="00BA5906"/>
    <w:rsid w:val="00BA7329"/>
    <w:rsid w:val="00BA7839"/>
    <w:rsid w:val="00BC2FAD"/>
    <w:rsid w:val="00BE3502"/>
    <w:rsid w:val="00BE7884"/>
    <w:rsid w:val="00BF3355"/>
    <w:rsid w:val="00BF52A5"/>
    <w:rsid w:val="00BF584F"/>
    <w:rsid w:val="00C06E64"/>
    <w:rsid w:val="00C163B4"/>
    <w:rsid w:val="00C477CC"/>
    <w:rsid w:val="00C76C84"/>
    <w:rsid w:val="00C8490C"/>
    <w:rsid w:val="00C935B0"/>
    <w:rsid w:val="00CA544E"/>
    <w:rsid w:val="00CB72BB"/>
    <w:rsid w:val="00CD30D3"/>
    <w:rsid w:val="00CE4132"/>
    <w:rsid w:val="00CF0854"/>
    <w:rsid w:val="00CF0F4F"/>
    <w:rsid w:val="00D16706"/>
    <w:rsid w:val="00D2095B"/>
    <w:rsid w:val="00D50221"/>
    <w:rsid w:val="00D70BA9"/>
    <w:rsid w:val="00D912A4"/>
    <w:rsid w:val="00DA6285"/>
    <w:rsid w:val="00DA734D"/>
    <w:rsid w:val="00DB073F"/>
    <w:rsid w:val="00DB0DC1"/>
    <w:rsid w:val="00DC0E4A"/>
    <w:rsid w:val="00DD3E9A"/>
    <w:rsid w:val="00DF20A7"/>
    <w:rsid w:val="00DF2549"/>
    <w:rsid w:val="00E24411"/>
    <w:rsid w:val="00E254AE"/>
    <w:rsid w:val="00E267E7"/>
    <w:rsid w:val="00E2691C"/>
    <w:rsid w:val="00E33FFF"/>
    <w:rsid w:val="00E411B5"/>
    <w:rsid w:val="00E52CA1"/>
    <w:rsid w:val="00E60F05"/>
    <w:rsid w:val="00E767A5"/>
    <w:rsid w:val="00E84E92"/>
    <w:rsid w:val="00E96229"/>
    <w:rsid w:val="00EA2F64"/>
    <w:rsid w:val="00ED545F"/>
    <w:rsid w:val="00EF2DC7"/>
    <w:rsid w:val="00EF6807"/>
    <w:rsid w:val="00F001D6"/>
    <w:rsid w:val="00F064BA"/>
    <w:rsid w:val="00F11348"/>
    <w:rsid w:val="00F12185"/>
    <w:rsid w:val="00F13852"/>
    <w:rsid w:val="00F26A53"/>
    <w:rsid w:val="00F26ECA"/>
    <w:rsid w:val="00F45908"/>
    <w:rsid w:val="00F5350E"/>
    <w:rsid w:val="00F674BD"/>
    <w:rsid w:val="00F921BF"/>
    <w:rsid w:val="00FC6EA9"/>
    <w:rsid w:val="00FD40B1"/>
    <w:rsid w:val="00FE4602"/>
    <w:rsid w:val="00FE6FF8"/>
    <w:rsid w:val="00FF3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9E1E73-FD25-4AFF-A0B1-BA717C73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E08"/>
    <w:pPr>
      <w:autoSpaceDE w:val="0"/>
      <w:autoSpaceDN w:val="0"/>
    </w:pPr>
    <w:rPr>
      <w:sz w:val="20"/>
      <w:szCs w:val="20"/>
      <w:lang w:eastAsia="ja-JP"/>
    </w:rPr>
  </w:style>
  <w:style w:type="paragraph" w:styleId="2">
    <w:name w:val="heading 2"/>
    <w:basedOn w:val="a"/>
    <w:next w:val="a"/>
    <w:link w:val="20"/>
    <w:uiPriority w:val="99"/>
    <w:qFormat/>
    <w:rsid w:val="00E52CA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7D5E08"/>
    <w:rPr>
      <w:rFonts w:ascii="Cambria" w:hAnsi="Cambria" w:cs="Times New Roman"/>
      <w:b/>
      <w:i/>
      <w:sz w:val="28"/>
      <w:lang w:eastAsia="ja-JP"/>
    </w:rPr>
  </w:style>
  <w:style w:type="paragraph" w:styleId="a3">
    <w:name w:val="header"/>
    <w:basedOn w:val="a"/>
    <w:link w:val="a4"/>
    <w:uiPriority w:val="99"/>
    <w:rsid w:val="007D5E08"/>
    <w:pPr>
      <w:tabs>
        <w:tab w:val="center" w:pos="4153"/>
        <w:tab w:val="right" w:pos="8306"/>
      </w:tabs>
    </w:pPr>
  </w:style>
  <w:style w:type="character" w:customStyle="1" w:styleId="a4">
    <w:name w:val="Верхний колонтитул Знак"/>
    <w:basedOn w:val="a0"/>
    <w:link w:val="a3"/>
    <w:uiPriority w:val="99"/>
    <w:semiHidden/>
    <w:locked/>
    <w:rsid w:val="007D5E08"/>
    <w:rPr>
      <w:rFonts w:cs="Times New Roman"/>
      <w:sz w:val="20"/>
      <w:lang w:eastAsia="ja-JP"/>
    </w:rPr>
  </w:style>
  <w:style w:type="paragraph" w:styleId="a5">
    <w:name w:val="footer"/>
    <w:basedOn w:val="a"/>
    <w:link w:val="a6"/>
    <w:uiPriority w:val="99"/>
    <w:rsid w:val="007D5E08"/>
    <w:pPr>
      <w:tabs>
        <w:tab w:val="center" w:pos="4153"/>
        <w:tab w:val="right" w:pos="8306"/>
      </w:tabs>
    </w:pPr>
  </w:style>
  <w:style w:type="character" w:customStyle="1" w:styleId="a6">
    <w:name w:val="Нижний колонтитул Знак"/>
    <w:basedOn w:val="a0"/>
    <w:link w:val="a5"/>
    <w:uiPriority w:val="99"/>
    <w:semiHidden/>
    <w:locked/>
    <w:rsid w:val="007D5E08"/>
    <w:rPr>
      <w:rFonts w:cs="Times New Roman"/>
      <w:sz w:val="20"/>
      <w:lang w:eastAsia="ja-JP"/>
    </w:rPr>
  </w:style>
  <w:style w:type="paragraph" w:styleId="a7">
    <w:name w:val="footnote text"/>
    <w:basedOn w:val="a"/>
    <w:link w:val="a8"/>
    <w:uiPriority w:val="99"/>
    <w:rsid w:val="007D5E08"/>
  </w:style>
  <w:style w:type="character" w:customStyle="1" w:styleId="a8">
    <w:name w:val="Текст сноски Знак"/>
    <w:basedOn w:val="a0"/>
    <w:link w:val="a7"/>
    <w:uiPriority w:val="99"/>
    <w:semiHidden/>
    <w:locked/>
    <w:rsid w:val="00DB073F"/>
    <w:rPr>
      <w:rFonts w:eastAsia="MS Mincho" w:cs="Times New Roman"/>
      <w:lang w:val="ru-RU" w:eastAsia="ja-JP"/>
    </w:rPr>
  </w:style>
  <w:style w:type="character" w:styleId="a9">
    <w:name w:val="footnote reference"/>
    <w:basedOn w:val="a0"/>
    <w:uiPriority w:val="99"/>
    <w:rsid w:val="007D5E08"/>
    <w:rPr>
      <w:rFonts w:cs="Times New Roman"/>
      <w:vertAlign w:val="superscript"/>
    </w:rPr>
  </w:style>
  <w:style w:type="character" w:customStyle="1" w:styleId="SUBST">
    <w:name w:val="__SUBST"/>
    <w:uiPriority w:val="99"/>
    <w:rsid w:val="00A11B2C"/>
    <w:rPr>
      <w:b/>
      <w:i/>
      <w:sz w:val="22"/>
    </w:rPr>
  </w:style>
  <w:style w:type="character" w:styleId="aa">
    <w:name w:val="annotation reference"/>
    <w:basedOn w:val="a0"/>
    <w:uiPriority w:val="99"/>
    <w:semiHidden/>
    <w:rsid w:val="00A11B2C"/>
    <w:rPr>
      <w:rFonts w:cs="Times New Roman"/>
      <w:sz w:val="16"/>
    </w:rPr>
  </w:style>
  <w:style w:type="paragraph" w:styleId="ab">
    <w:name w:val="annotation text"/>
    <w:basedOn w:val="a"/>
    <w:link w:val="ac"/>
    <w:uiPriority w:val="99"/>
    <w:semiHidden/>
    <w:rsid w:val="00A11B2C"/>
  </w:style>
  <w:style w:type="character" w:customStyle="1" w:styleId="ac">
    <w:name w:val="Текст примечания Знак"/>
    <w:basedOn w:val="a0"/>
    <w:link w:val="ab"/>
    <w:uiPriority w:val="99"/>
    <w:semiHidden/>
    <w:locked/>
    <w:rsid w:val="007D5E08"/>
    <w:rPr>
      <w:rFonts w:cs="Times New Roman"/>
      <w:sz w:val="20"/>
      <w:lang w:eastAsia="ja-JP"/>
    </w:rPr>
  </w:style>
  <w:style w:type="paragraph" w:styleId="ad">
    <w:name w:val="Balloon Text"/>
    <w:basedOn w:val="a"/>
    <w:link w:val="ae"/>
    <w:uiPriority w:val="99"/>
    <w:semiHidden/>
    <w:rsid w:val="00A11B2C"/>
    <w:rPr>
      <w:rFonts w:ascii="Tahoma" w:hAnsi="Tahoma"/>
      <w:sz w:val="16"/>
      <w:szCs w:val="16"/>
    </w:rPr>
  </w:style>
  <w:style w:type="character" w:customStyle="1" w:styleId="ae">
    <w:name w:val="Текст выноски Знак"/>
    <w:basedOn w:val="a0"/>
    <w:link w:val="ad"/>
    <w:uiPriority w:val="99"/>
    <w:semiHidden/>
    <w:locked/>
    <w:rsid w:val="007D5E08"/>
    <w:rPr>
      <w:rFonts w:ascii="Tahoma" w:hAnsi="Tahoma" w:cs="Times New Roman"/>
      <w:sz w:val="16"/>
      <w:lang w:eastAsia="ja-JP"/>
    </w:rPr>
  </w:style>
  <w:style w:type="paragraph" w:customStyle="1" w:styleId="NormalPrefix">
    <w:name w:val="Normal Prefix"/>
    <w:link w:val="NormalPrefixChar1"/>
    <w:uiPriority w:val="99"/>
    <w:rsid w:val="006866DB"/>
    <w:pPr>
      <w:widowControl w:val="0"/>
      <w:spacing w:before="200" w:after="40"/>
    </w:pPr>
    <w:rPr>
      <w:lang w:val="en-AU" w:eastAsia="en-US"/>
    </w:rPr>
  </w:style>
  <w:style w:type="paragraph" w:styleId="af">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
    <w:basedOn w:val="a"/>
    <w:link w:val="af0"/>
    <w:uiPriority w:val="99"/>
    <w:rsid w:val="006866DB"/>
    <w:pPr>
      <w:autoSpaceDE/>
      <w:autoSpaceDN/>
    </w:pPr>
    <w:rPr>
      <w:rFonts w:ascii="Courier New" w:hAnsi="Courier New" w:cs="Courier New"/>
      <w:lang w:eastAsia="ru-RU"/>
    </w:rPr>
  </w:style>
  <w:style w:type="character" w:customStyle="1" w:styleId="af0">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basedOn w:val="a0"/>
    <w:link w:val="af"/>
    <w:uiPriority w:val="99"/>
    <w:locked/>
    <w:rsid w:val="006866DB"/>
    <w:rPr>
      <w:rFonts w:ascii="Courier New" w:hAnsi="Courier New" w:cs="Times New Roman"/>
      <w:lang w:val="ru-RU" w:eastAsia="ru-RU"/>
    </w:rPr>
  </w:style>
  <w:style w:type="character" w:customStyle="1" w:styleId="NormalPrefixChar1">
    <w:name w:val="Normal Prefix Char1"/>
    <w:link w:val="NormalPrefix"/>
    <w:uiPriority w:val="99"/>
    <w:locked/>
    <w:rsid w:val="006866DB"/>
    <w:rPr>
      <w:sz w:val="22"/>
      <w:lang w:val="en-AU" w:eastAsia="en-US"/>
    </w:rPr>
  </w:style>
  <w:style w:type="paragraph" w:customStyle="1" w:styleId="BodyTextIndent1">
    <w:name w:val="Body Text Indent1"/>
    <w:basedOn w:val="a"/>
    <w:uiPriority w:val="99"/>
    <w:rsid w:val="00DB073F"/>
    <w:pPr>
      <w:widowControl w:val="0"/>
      <w:adjustRightInd w:val="0"/>
      <w:spacing w:before="20" w:after="120"/>
      <w:ind w:left="283"/>
    </w:pPr>
    <w:rPr>
      <w:sz w:val="22"/>
      <w:szCs w:val="22"/>
      <w:lang w:eastAsia="ru-RU"/>
    </w:rPr>
  </w:style>
  <w:style w:type="character" w:styleId="af1">
    <w:name w:val="Hyperlink"/>
    <w:basedOn w:val="a0"/>
    <w:uiPriority w:val="99"/>
    <w:rsid w:val="00DB073F"/>
    <w:rPr>
      <w:rFonts w:cs="Times New Roman"/>
      <w:color w:val="0000FF"/>
      <w:u w:val="single"/>
    </w:rPr>
  </w:style>
  <w:style w:type="character" w:styleId="af2">
    <w:name w:val="Strong"/>
    <w:basedOn w:val="a0"/>
    <w:uiPriority w:val="99"/>
    <w:qFormat/>
    <w:rsid w:val="00DB073F"/>
    <w:rPr>
      <w:rFonts w:ascii="Times New Roman" w:hAnsi="Times New Roman" w:cs="Times New Roman"/>
    </w:rPr>
  </w:style>
  <w:style w:type="character" w:customStyle="1" w:styleId="Basic1Char">
    <w:name w:val="Basic1 Char"/>
    <w:link w:val="Basic1"/>
    <w:uiPriority w:val="99"/>
    <w:locked/>
    <w:rsid w:val="009324EA"/>
    <w:rPr>
      <w:b/>
      <w:i/>
      <w:sz w:val="22"/>
    </w:rPr>
  </w:style>
  <w:style w:type="paragraph" w:customStyle="1" w:styleId="Basic1">
    <w:name w:val="Basic1"/>
    <w:basedOn w:val="a"/>
    <w:link w:val="Basic1Char"/>
    <w:uiPriority w:val="99"/>
    <w:rsid w:val="009324EA"/>
    <w:pPr>
      <w:ind w:firstLine="539"/>
      <w:jc w:val="both"/>
    </w:pPr>
    <w:rPr>
      <w:b/>
      <w:i/>
      <w:sz w:val="22"/>
    </w:rPr>
  </w:style>
  <w:style w:type="paragraph" w:styleId="af3">
    <w:name w:val="annotation subject"/>
    <w:basedOn w:val="ab"/>
    <w:next w:val="ab"/>
    <w:link w:val="af4"/>
    <w:uiPriority w:val="99"/>
    <w:semiHidden/>
    <w:rsid w:val="00482EE8"/>
    <w:rPr>
      <w:b/>
      <w:bCs/>
    </w:rPr>
  </w:style>
  <w:style w:type="character" w:customStyle="1" w:styleId="af4">
    <w:name w:val="Тема примечания Знак"/>
    <w:basedOn w:val="ac"/>
    <w:link w:val="af3"/>
    <w:uiPriority w:val="99"/>
    <w:semiHidden/>
    <w:locked/>
    <w:rsid w:val="007D5E08"/>
    <w:rPr>
      <w:rFonts w:cs="Times New Roman"/>
      <w:b/>
      <w:sz w:val="20"/>
      <w:lang w:eastAsia="ja-JP"/>
    </w:rPr>
  </w:style>
  <w:style w:type="character" w:styleId="af5">
    <w:name w:val="page number"/>
    <w:basedOn w:val="a0"/>
    <w:uiPriority w:val="99"/>
    <w:rsid w:val="00040BC1"/>
    <w:rPr>
      <w:rFonts w:cs="Times New Roman"/>
    </w:rPr>
  </w:style>
  <w:style w:type="paragraph" w:customStyle="1" w:styleId="Revision1">
    <w:name w:val="Revision1"/>
    <w:hidden/>
    <w:uiPriority w:val="99"/>
    <w:semiHidden/>
    <w:rsid w:val="00802194"/>
    <w:rPr>
      <w:sz w:val="20"/>
      <w:szCs w:val="20"/>
      <w:lang w:eastAsia="ja-JP"/>
    </w:rPr>
  </w:style>
  <w:style w:type="paragraph" w:customStyle="1" w:styleId="BodyTextbt">
    <w:name w:val="Body Text.bt"/>
    <w:basedOn w:val="a"/>
    <w:uiPriority w:val="99"/>
    <w:rsid w:val="00B408D0"/>
    <w:pPr>
      <w:jc w:val="both"/>
    </w:pPr>
    <w:rPr>
      <w:b/>
      <w:bCs/>
      <w:i/>
      <w:iCs/>
      <w:sz w:val="22"/>
      <w:szCs w:val="22"/>
      <w:lang w:eastAsia="ru-RU"/>
    </w:rPr>
  </w:style>
  <w:style w:type="paragraph" w:styleId="af6">
    <w:name w:val="Revision"/>
    <w:hidden/>
    <w:uiPriority w:val="99"/>
    <w:semiHidden/>
    <w:rsid w:val="00361EF3"/>
    <w:rPr>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857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Приложение № 6 (2)</vt:lpstr>
    </vt:vector>
  </TitlesOfParts>
  <Company>КонсультантПлюс</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6 (2)</dc:title>
  <dc:subject/>
  <dc:creator>КонсультантПлюс</dc:creator>
  <cp:keywords/>
  <dc:description/>
  <cp:lastModifiedBy>Родичева Дарья Алексеевна (drodicheva)</cp:lastModifiedBy>
  <cp:revision>2</cp:revision>
  <cp:lastPrinted>2019-04-29T15:30:00Z</cp:lastPrinted>
  <dcterms:created xsi:type="dcterms:W3CDTF">2019-12-17T10:02:00Z</dcterms:created>
  <dcterms:modified xsi:type="dcterms:W3CDTF">2019-12-17T10:02:00Z</dcterms:modified>
</cp:coreProperties>
</file>